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F9510A" w14:textId="77777777" w:rsidR="008C05A6" w:rsidRPr="00B44BD8" w:rsidRDefault="00B44BD8">
      <w:pPr>
        <w:rPr>
          <w:b/>
          <w:sz w:val="28"/>
          <w:szCs w:val="28"/>
        </w:rPr>
      </w:pPr>
      <w:bookmarkStart w:id="0" w:name="_GoBack"/>
      <w:bookmarkEnd w:id="0"/>
      <w:r w:rsidRPr="00B44BD8">
        <w:rPr>
          <w:b/>
          <w:sz w:val="28"/>
          <w:szCs w:val="28"/>
        </w:rPr>
        <w:t>CSI Update of the Energy Revolution 2015: Snapshot of Markets and Technologies</w:t>
      </w:r>
    </w:p>
    <w:p w14:paraId="65A6C738" w14:textId="77777777" w:rsidR="00B44BD8" w:rsidRDefault="00B44BD8"/>
    <w:p w14:paraId="04A9A49E" w14:textId="7B1CE775" w:rsidR="004C3AA8" w:rsidRPr="004C3AA8" w:rsidRDefault="004C3AA8">
      <w:pPr>
        <w:rPr>
          <w:b/>
        </w:rPr>
      </w:pPr>
      <w:r w:rsidRPr="004C3AA8">
        <w:rPr>
          <w:b/>
        </w:rPr>
        <w:t>Introduction</w:t>
      </w:r>
    </w:p>
    <w:p w14:paraId="4A35A056" w14:textId="0BE7A47F" w:rsidR="00B44BD8" w:rsidRDefault="00AB635A">
      <w:r>
        <w:t xml:space="preserve">Since the spring of 2013 </w:t>
      </w:r>
      <w:r w:rsidR="00B44BD8">
        <w:t xml:space="preserve">CSI has conducted informal surveys of energy markets and technologies.  Nearly two years ago, it was evident that a revolution in energy technology and cost reductions </w:t>
      </w:r>
      <w:r w:rsidR="00F31E53">
        <w:t xml:space="preserve">in those technologies </w:t>
      </w:r>
      <w:r w:rsidR="00B44BD8">
        <w:t>was taking place.  The revolution has continued as the global market for solar and wind technology has surged.  As coal-fired and nuclear power struggle economically, the emerging paradigm evolving to its seemingly inevitable end is an electric grid dominated by building efficiency (moving towards net zero energy buildings and communities) and solar and wind technology.  Coupled with the growing efficiency/renewables market is an equally strong investment and R&amp;D interest in storage technology.   Out of this is emerging yet another development - an electric grid/transportation nexus.  It is apparent that the electric/hybrid vehicle market will play an increasing role in the integration of variable renewabl</w:t>
      </w:r>
      <w:r>
        <w:t>e technology (solar and wind) into</w:t>
      </w:r>
      <w:r w:rsidR="00B44BD8">
        <w:t xml:space="preserve"> the grid.   </w:t>
      </w:r>
    </w:p>
    <w:p w14:paraId="0654D9CA" w14:textId="77777777" w:rsidR="002950DB" w:rsidRDefault="002950DB"/>
    <w:p w14:paraId="0033C5FF" w14:textId="114A8ED3" w:rsidR="002950DB" w:rsidRDefault="005F0C6D">
      <w:r>
        <w:t xml:space="preserve">The commercialized </w:t>
      </w:r>
      <w:r w:rsidR="002950DB">
        <w:t xml:space="preserve">technologies </w:t>
      </w:r>
      <w:r>
        <w:t xml:space="preserve">among these </w:t>
      </w:r>
      <w:r w:rsidR="002950DB">
        <w:t>continue to displa</w:t>
      </w:r>
      <w:r w:rsidR="00F31E53">
        <w:t>y inherent advantages over base-</w:t>
      </w:r>
      <w:r w:rsidR="002950DB">
        <w:t>load coal</w:t>
      </w:r>
      <w:r w:rsidR="006937EB">
        <w:t>-fired</w:t>
      </w:r>
      <w:r w:rsidR="002950DB">
        <w:t xml:space="preserve"> and nuclear plants</w:t>
      </w:r>
      <w:r w:rsidR="006937EB">
        <w:t xml:space="preserve"> and central station natural gas-fired plants</w:t>
      </w:r>
      <w:r>
        <w:t xml:space="preserve">.  And commercialization of other sustainable technologies </w:t>
      </w:r>
      <w:r w:rsidR="00F31E53">
        <w:t xml:space="preserve">mentioned herein </w:t>
      </w:r>
      <w:r>
        <w:t>will no doubt exhibit similar attributes.</w:t>
      </w:r>
    </w:p>
    <w:p w14:paraId="5D3F702C" w14:textId="77777777" w:rsidR="002950DB" w:rsidRDefault="002950DB"/>
    <w:p w14:paraId="65BF2C17" w14:textId="77777777" w:rsidR="002950DB" w:rsidRDefault="002950DB">
      <w:r>
        <w:t>- Continued cost reductions</w:t>
      </w:r>
    </w:p>
    <w:p w14:paraId="720B49FD" w14:textId="77777777" w:rsidR="002950DB" w:rsidRDefault="006937EB">
      <w:r>
        <w:t>- Ease and pace</w:t>
      </w:r>
      <w:r w:rsidR="002950DB">
        <w:t xml:space="preserve"> of deployment</w:t>
      </w:r>
    </w:p>
    <w:p w14:paraId="362274BC" w14:textId="1D3A9C3D" w:rsidR="002950DB" w:rsidRDefault="006937EB">
      <w:r>
        <w:t xml:space="preserve">- Minimal </w:t>
      </w:r>
      <w:r w:rsidR="002950DB">
        <w:t>financial risk (no c</w:t>
      </w:r>
      <w:r w:rsidR="000F78AA">
        <w:t>ost overruns during construction</w:t>
      </w:r>
      <w:r w:rsidR="002950DB">
        <w:t>)</w:t>
      </w:r>
    </w:p>
    <w:p w14:paraId="62E513A8" w14:textId="77777777" w:rsidR="002950DB" w:rsidRDefault="002950DB">
      <w:r>
        <w:t>- Calculable construction and operating costs</w:t>
      </w:r>
    </w:p>
    <w:p w14:paraId="092FF930" w14:textId="77777777" w:rsidR="002950DB" w:rsidRDefault="002950DB">
      <w:r>
        <w:t>- Few impacts on water quality and availability</w:t>
      </w:r>
    </w:p>
    <w:p w14:paraId="10776229" w14:textId="77777777" w:rsidR="006937EB" w:rsidRDefault="006937EB">
      <w:r>
        <w:t>- Modular design (able to be sized properly for any operational context)</w:t>
      </w:r>
    </w:p>
    <w:p w14:paraId="4EFD6974" w14:textId="77777777" w:rsidR="006937EB" w:rsidRDefault="006937EB">
      <w:r>
        <w:t>- Minimal impacts on public health</w:t>
      </w:r>
    </w:p>
    <w:p w14:paraId="6AC36792" w14:textId="77777777" w:rsidR="006937EB" w:rsidRDefault="006937EB">
      <w:r>
        <w:t>- Grid resiliency attributes</w:t>
      </w:r>
    </w:p>
    <w:p w14:paraId="65694379" w14:textId="41941DB1" w:rsidR="006937EB" w:rsidRDefault="006937EB">
      <w:r>
        <w:t>-</w:t>
      </w:r>
      <w:r w:rsidR="000C1BC6">
        <w:t xml:space="preserve"> </w:t>
      </w:r>
      <w:r>
        <w:t>Minimal climate impacts</w:t>
      </w:r>
    </w:p>
    <w:p w14:paraId="6C88941E" w14:textId="4EA7396F" w:rsidR="000F78AA" w:rsidRDefault="000F78AA">
      <w:r>
        <w:t>- Able to be mass-produced</w:t>
      </w:r>
    </w:p>
    <w:p w14:paraId="124E6754" w14:textId="77777777" w:rsidR="005F0C6D" w:rsidRDefault="005F0C6D"/>
    <w:p w14:paraId="64DECA58" w14:textId="6BCEF9E3" w:rsidR="005F0C6D" w:rsidRDefault="005F0C6D">
      <w:r>
        <w:t xml:space="preserve">Another distinct advantage of renewable, storage, building efficiency, fuel cell and wave technologies </w:t>
      </w:r>
      <w:r w:rsidR="00840BD4">
        <w:t xml:space="preserve">often overlooked is that they, unlike </w:t>
      </w:r>
      <w:r>
        <w:t xml:space="preserve">new nuclear or coal-based </w:t>
      </w:r>
      <w:r w:rsidR="00840BD4">
        <w:t>power plant designs,</w:t>
      </w:r>
      <w:r>
        <w:t xml:space="preserve"> can be thoroughly tested over a number of unit generations until they are ready for commercialization.  On the other h</w:t>
      </w:r>
      <w:r w:rsidR="00840BD4">
        <w:t>and, no utility company or its</w:t>
      </w:r>
      <w:r>
        <w:t xml:space="preserve"> stockholders will support billions in investment over </w:t>
      </w:r>
      <w:r w:rsidR="006E79EC">
        <w:t>a decade or more</w:t>
      </w:r>
      <w:r>
        <w:t xml:space="preserve"> of a full-scale power plant or unit to properly commercialize so-called Generation IV nuclear or coal gasification or supercrit</w:t>
      </w:r>
      <w:r w:rsidR="00840BD4">
        <w:t>ical designs.  These designs exist</w:t>
      </w:r>
      <w:r>
        <w:t xml:space="preserve"> on paper only.  If they are deployed, construction begins as </w:t>
      </w:r>
      <w:r w:rsidR="00840BD4">
        <w:t>an experiment (hence the inevitable cost overruns)</w:t>
      </w:r>
      <w:r>
        <w:t xml:space="preserve"> with massive public R&amp;D and financial support behind them.  The battery of public largesse includes loan guarantees, construction work in progress, </w:t>
      </w:r>
      <w:r w:rsidR="00840BD4">
        <w:t xml:space="preserve">and </w:t>
      </w:r>
      <w:r>
        <w:t xml:space="preserve">federal and state tax credits.  </w:t>
      </w:r>
      <w:r w:rsidR="00840BD4">
        <w:t xml:space="preserve">Only after all or a substantial portion of the construction risk is shifted to the public (in other words, only after significant </w:t>
      </w:r>
      <w:r w:rsidR="00840BD4">
        <w:lastRenderedPageBreak/>
        <w:t xml:space="preserve">construction subsidies are in place) will the private sector consider financial support for such projects.  </w:t>
      </w:r>
    </w:p>
    <w:p w14:paraId="55EB8D40" w14:textId="77777777" w:rsidR="00210789" w:rsidRDefault="00210789"/>
    <w:p w14:paraId="048FD7B7" w14:textId="77777777" w:rsidR="00ED2F6A" w:rsidRDefault="00ED2F6A" w:rsidP="00ED2F6A">
      <w:r>
        <w:t xml:space="preserve">This year we add fuel cells to the list.  Similar to the other sustainable technologies mentioned in this paper, a global fuel cell market is emerging.  </w:t>
      </w:r>
    </w:p>
    <w:p w14:paraId="1C87107A" w14:textId="77777777" w:rsidR="00ED2F6A" w:rsidRDefault="00ED2F6A"/>
    <w:p w14:paraId="52058116" w14:textId="2DC52898" w:rsidR="007429A5" w:rsidRDefault="00C85075">
      <w:r>
        <w:t xml:space="preserve">Globally, the renewables market remains healthy, with solar PV and wind deployment leading the way.   </w:t>
      </w:r>
      <w:r w:rsidR="00B45934">
        <w:t xml:space="preserve">In early 2015, Bloomberg Energy Finance reported that global investment in renewables increased in 2014 for the first time since 2011, reaching $310 billion.  Bloomberg and other analysts did not expect this given low oil prices, which appear </w:t>
      </w:r>
      <w:r w:rsidR="00ED2F6A">
        <w:t xml:space="preserve">not to </w:t>
      </w:r>
      <w:r w:rsidR="00B45934">
        <w:t xml:space="preserve">have had much, if any, impact on renewables investment.  </w:t>
      </w:r>
    </w:p>
    <w:p w14:paraId="796B0336" w14:textId="77777777" w:rsidR="00B45934" w:rsidRDefault="00B45934"/>
    <w:p w14:paraId="5510C019" w14:textId="4BCF3056" w:rsidR="00B45934" w:rsidRDefault="00B45934">
      <w:r>
        <w:t xml:space="preserve">The surge in investment was led by solar PV, which increased 25% year-to-year to $149.6 billion. The rise in wind investment was mainly from offshore deployment, “achieving an all-time high of $99.5 billion” (increasing by 11%).   Rooftop solar assumed second place, expanding “34 percent to $73.5 billion.” </w:t>
      </w:r>
    </w:p>
    <w:p w14:paraId="10F02ECF" w14:textId="77777777" w:rsidR="00B45934" w:rsidRDefault="00B45934"/>
    <w:p w14:paraId="5074ECE7" w14:textId="77777777" w:rsidR="00421C9E" w:rsidRDefault="00B45934">
      <w:r>
        <w:t>China, at $89.5 billion in investment, led the way, representing 32% of the increase.  The US enjoyed $40.8 bi</w:t>
      </w:r>
      <w:r w:rsidR="00ED2F6A">
        <w:t>llion in renewables investment.</w:t>
      </w:r>
      <w:r w:rsidR="00ED2F6A">
        <w:rPr>
          <w:rStyle w:val="FootnoteReference"/>
        </w:rPr>
        <w:footnoteReference w:id="1"/>
      </w:r>
      <w:r w:rsidR="00812419">
        <w:t xml:space="preserve">  </w:t>
      </w:r>
    </w:p>
    <w:p w14:paraId="1B884F37" w14:textId="77777777" w:rsidR="00421C9E" w:rsidRDefault="00421C9E"/>
    <w:p w14:paraId="54A5E339" w14:textId="2395DB14" w:rsidR="00421C9E" w:rsidRDefault="00812419" w:rsidP="00421C9E">
      <w:pPr>
        <w:widowControl w:val="0"/>
        <w:autoSpaceDE w:val="0"/>
        <w:autoSpaceDN w:val="0"/>
        <w:adjustRightInd w:val="0"/>
        <w:rPr>
          <w:rFonts w:cs="Helvetica"/>
        </w:rPr>
      </w:pPr>
      <w:r>
        <w:t>US non-hydro renewables account for about 6% of all US electric generation; adding hydro the sum reaches about 13%.</w:t>
      </w:r>
      <w:r>
        <w:rPr>
          <w:rStyle w:val="FootnoteReference"/>
        </w:rPr>
        <w:footnoteReference w:id="2"/>
      </w:r>
      <w:r w:rsidR="00D17C88">
        <w:t xml:space="preserve">  In November of 2014</w:t>
      </w:r>
      <w:r w:rsidR="00421C9E">
        <w:t>, US wind and solar capacity additions made up 70% of new</w:t>
      </w:r>
      <w:r w:rsidR="000F78AA">
        <w:t xml:space="preserve"> generation. Nine of </w:t>
      </w:r>
      <w:r w:rsidR="009D20F8">
        <w:t>11 months</w:t>
      </w:r>
      <w:r w:rsidR="00421C9E">
        <w:t xml:space="preserve"> renewables were on top of capacity addition stats.  During 2014, renewables comprised over 47% of new generation – “</w:t>
      </w:r>
      <w:r w:rsidR="00421C9E" w:rsidRPr="00421C9E">
        <w:rPr>
          <w:rFonts w:cs="Helvetica"/>
        </w:rPr>
        <w:t>wind accounted for 23.11%, followed by solar (20.16%), biomass (2.58%), hydropower (1.29%) and geothermal (0.29%).</w:t>
      </w:r>
      <w:r w:rsidR="00D47A57">
        <w:rPr>
          <w:rFonts w:cs="Helvetica"/>
        </w:rPr>
        <w:t>” Natural gas dominated the balance of power plant additions</w:t>
      </w:r>
      <w:r w:rsidR="00421C9E">
        <w:rPr>
          <w:rFonts w:cs="Helvetica"/>
        </w:rPr>
        <w:t>.</w:t>
      </w:r>
      <w:r w:rsidR="00421C9E" w:rsidRPr="00421C9E">
        <w:rPr>
          <w:rStyle w:val="FootnoteReference"/>
        </w:rPr>
        <w:t xml:space="preserve"> </w:t>
      </w:r>
      <w:r w:rsidR="00421C9E">
        <w:rPr>
          <w:rStyle w:val="FootnoteReference"/>
        </w:rPr>
        <w:footnoteReference w:id="3"/>
      </w:r>
      <w:r w:rsidR="00421C9E">
        <w:rPr>
          <w:rFonts w:cs="Helvetica"/>
        </w:rPr>
        <w:t xml:space="preserve"> </w:t>
      </w:r>
    </w:p>
    <w:p w14:paraId="161DF6D4" w14:textId="77777777" w:rsidR="0047177D" w:rsidRDefault="0047177D" w:rsidP="00421C9E">
      <w:pPr>
        <w:widowControl w:val="0"/>
        <w:autoSpaceDE w:val="0"/>
        <w:autoSpaceDN w:val="0"/>
        <w:adjustRightInd w:val="0"/>
        <w:rPr>
          <w:rFonts w:cs="Helvetica"/>
        </w:rPr>
      </w:pPr>
    </w:p>
    <w:p w14:paraId="1D604D3D" w14:textId="77777777" w:rsidR="0047177D" w:rsidRDefault="0047177D" w:rsidP="0047177D">
      <w:pPr>
        <w:widowControl w:val="0"/>
        <w:autoSpaceDE w:val="0"/>
        <w:autoSpaceDN w:val="0"/>
        <w:adjustRightInd w:val="0"/>
        <w:rPr>
          <w:rFonts w:cs="Verdana"/>
          <w:color w:val="262626"/>
        </w:rPr>
      </w:pPr>
      <w:r>
        <w:rPr>
          <w:rFonts w:cs="Verdana"/>
          <w:color w:val="262626"/>
        </w:rPr>
        <w:t>In terms of job creation/loss, renewables beat conventional power plants from 2011 through June 2014.  The fossil fuel power sector lost over 1,700 (mainly coal) and the nuclear power plant sector 4,800.   These were due to power plant closures.  Wind and solar jobs increased 16% and 201% respectively.</w:t>
      </w:r>
      <w:r>
        <w:rPr>
          <w:rStyle w:val="FootnoteReference"/>
          <w:rFonts w:cs="Verdana"/>
          <w:color w:val="262626"/>
        </w:rPr>
        <w:footnoteReference w:id="4"/>
      </w:r>
    </w:p>
    <w:p w14:paraId="127FCD31" w14:textId="3F7D8551" w:rsidR="0047177D" w:rsidRDefault="0047177D" w:rsidP="0047177D">
      <w:pPr>
        <w:widowControl w:val="0"/>
        <w:autoSpaceDE w:val="0"/>
        <w:autoSpaceDN w:val="0"/>
        <w:adjustRightInd w:val="0"/>
        <w:ind w:left="1440"/>
        <w:rPr>
          <w:rFonts w:cs="Verdana"/>
          <w:color w:val="262626"/>
        </w:rPr>
      </w:pPr>
      <w:r>
        <w:rPr>
          <w:rFonts w:ascii="Times New Roman" w:hAnsi="Times New Roman" w:cs="Times New Roman"/>
          <w:noProof/>
          <w:sz w:val="32"/>
          <w:szCs w:val="32"/>
        </w:rPr>
        <w:drawing>
          <wp:inline distT="0" distB="0" distL="0" distR="0" wp14:anchorId="4D703863" wp14:editId="652FFE23">
            <wp:extent cx="3086100" cy="1522691"/>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7700" cy="1523481"/>
                    </a:xfrm>
                    <a:prstGeom prst="rect">
                      <a:avLst/>
                    </a:prstGeom>
                    <a:noFill/>
                    <a:ln>
                      <a:noFill/>
                    </a:ln>
                  </pic:spPr>
                </pic:pic>
              </a:graphicData>
            </a:graphic>
          </wp:inline>
        </w:drawing>
      </w:r>
    </w:p>
    <w:p w14:paraId="0B63403A" w14:textId="77777777" w:rsidR="0047177D" w:rsidRDefault="0047177D" w:rsidP="0047177D">
      <w:pPr>
        <w:widowControl w:val="0"/>
        <w:autoSpaceDE w:val="0"/>
        <w:autoSpaceDN w:val="0"/>
        <w:adjustRightInd w:val="0"/>
        <w:ind w:left="1440"/>
        <w:rPr>
          <w:rFonts w:ascii="Times" w:hAnsi="Times" w:cs="Times"/>
          <w:color w:val="878787"/>
          <w:sz w:val="16"/>
          <w:szCs w:val="16"/>
        </w:rPr>
      </w:pPr>
      <w:r w:rsidRPr="00536D94">
        <w:rPr>
          <w:rFonts w:ascii="Times" w:hAnsi="Times" w:cs="Times"/>
          <w:b/>
          <w:bCs/>
          <w:color w:val="878787"/>
          <w:sz w:val="16"/>
          <w:szCs w:val="16"/>
        </w:rPr>
        <w:t>Source: </w:t>
      </w:r>
      <w:r>
        <w:rPr>
          <w:rFonts w:ascii="Times" w:hAnsi="Times" w:cs="Times"/>
          <w:color w:val="878787"/>
          <w:sz w:val="16"/>
          <w:szCs w:val="16"/>
        </w:rPr>
        <w:t>Bureau of Labor Statistics</w:t>
      </w:r>
    </w:p>
    <w:p w14:paraId="79A3B10E" w14:textId="651C0411" w:rsidR="0047177D" w:rsidRDefault="007A7DE1" w:rsidP="0047177D">
      <w:pPr>
        <w:widowControl w:val="0"/>
        <w:autoSpaceDE w:val="0"/>
        <w:autoSpaceDN w:val="0"/>
        <w:adjustRightInd w:val="0"/>
        <w:ind w:left="720" w:firstLine="720"/>
        <w:rPr>
          <w:rFonts w:ascii="Times" w:hAnsi="Times" w:cs="Times"/>
          <w:color w:val="878787"/>
          <w:sz w:val="16"/>
          <w:szCs w:val="16"/>
        </w:rPr>
      </w:pPr>
      <w:hyperlink r:id="rId8" w:history="1">
        <w:r w:rsidR="0047177D" w:rsidRPr="00536D94">
          <w:rPr>
            <w:rFonts w:ascii="Times" w:hAnsi="Times" w:cs="Times"/>
            <w:color w:val="0988D0"/>
            <w:sz w:val="16"/>
            <w:szCs w:val="16"/>
          </w:rPr>
          <w:t>Quarterly Census of Employment and Wages</w:t>
        </w:r>
      </w:hyperlink>
      <w:r w:rsidR="0047177D" w:rsidRPr="00536D94">
        <w:rPr>
          <w:rFonts w:ascii="Times" w:hAnsi="Times" w:cs="Times"/>
          <w:color w:val="878787"/>
          <w:sz w:val="16"/>
          <w:szCs w:val="16"/>
        </w:rPr>
        <w:t> </w:t>
      </w:r>
      <w:r w:rsidR="0047177D">
        <w:rPr>
          <w:rFonts w:ascii="Times" w:hAnsi="Times" w:cs="Times"/>
          <w:color w:val="878787"/>
          <w:sz w:val="16"/>
          <w:szCs w:val="16"/>
        </w:rPr>
        <w:t xml:space="preserve"> (</w:t>
      </w:r>
      <w:r w:rsidR="0047177D" w:rsidRPr="00536D94">
        <w:rPr>
          <w:rFonts w:ascii="Times" w:hAnsi="Times" w:cs="Times"/>
          <w:b/>
          <w:bCs/>
          <w:color w:val="878787"/>
          <w:sz w:val="16"/>
          <w:szCs w:val="16"/>
        </w:rPr>
        <w:t>Note: </w:t>
      </w:r>
      <w:r w:rsidR="0047177D" w:rsidRPr="00536D94">
        <w:rPr>
          <w:rFonts w:ascii="Times" w:hAnsi="Times" w:cs="Times"/>
          <w:color w:val="878787"/>
          <w:sz w:val="16"/>
          <w:szCs w:val="16"/>
        </w:rPr>
        <w:t>2014 data are</w:t>
      </w:r>
      <w:r w:rsidR="0047177D">
        <w:rPr>
          <w:rFonts w:ascii="Times" w:hAnsi="Times" w:cs="Times"/>
          <w:color w:val="878787"/>
          <w:sz w:val="22"/>
          <w:szCs w:val="22"/>
        </w:rPr>
        <w:t xml:space="preserve"> </w:t>
      </w:r>
      <w:r w:rsidR="0047177D" w:rsidRPr="00536D94">
        <w:rPr>
          <w:rFonts w:ascii="Times" w:hAnsi="Times" w:cs="Times"/>
          <w:color w:val="878787"/>
          <w:sz w:val="16"/>
          <w:szCs w:val="16"/>
        </w:rPr>
        <w:t>preliminary</w:t>
      </w:r>
      <w:r w:rsidR="0047177D">
        <w:rPr>
          <w:rFonts w:ascii="Times" w:hAnsi="Times" w:cs="Times"/>
          <w:color w:val="878787"/>
          <w:sz w:val="16"/>
          <w:szCs w:val="16"/>
        </w:rPr>
        <w:t>)</w:t>
      </w:r>
    </w:p>
    <w:p w14:paraId="17CC6AF0" w14:textId="77777777" w:rsidR="0047177D" w:rsidRDefault="0047177D" w:rsidP="0047177D">
      <w:pPr>
        <w:widowControl w:val="0"/>
        <w:autoSpaceDE w:val="0"/>
        <w:autoSpaceDN w:val="0"/>
        <w:adjustRightInd w:val="0"/>
        <w:rPr>
          <w:rFonts w:ascii="Times" w:hAnsi="Times" w:cs="Times"/>
          <w:color w:val="878787"/>
        </w:rPr>
      </w:pPr>
    </w:p>
    <w:p w14:paraId="4896B195" w14:textId="77777777" w:rsidR="00210789" w:rsidRDefault="00210789" w:rsidP="0047177D">
      <w:pPr>
        <w:widowControl w:val="0"/>
        <w:autoSpaceDE w:val="0"/>
        <w:autoSpaceDN w:val="0"/>
        <w:adjustRightInd w:val="0"/>
        <w:rPr>
          <w:rFonts w:ascii="Times" w:hAnsi="Times" w:cs="Times"/>
          <w:color w:val="878787"/>
        </w:rPr>
      </w:pPr>
    </w:p>
    <w:p w14:paraId="182F2E9D" w14:textId="77777777" w:rsidR="0047177D" w:rsidRPr="002E5083" w:rsidRDefault="0047177D" w:rsidP="0047177D">
      <w:pPr>
        <w:widowControl w:val="0"/>
        <w:autoSpaceDE w:val="0"/>
        <w:autoSpaceDN w:val="0"/>
        <w:adjustRightInd w:val="0"/>
        <w:rPr>
          <w:rFonts w:ascii="Times" w:hAnsi="Times" w:cs="Times"/>
          <w:color w:val="878787"/>
        </w:rPr>
      </w:pPr>
    </w:p>
    <w:p w14:paraId="3A7DFB5A" w14:textId="0E206BC3" w:rsidR="00ED2F6A" w:rsidRDefault="00ED2F6A">
      <w:pPr>
        <w:rPr>
          <w:b/>
        </w:rPr>
      </w:pPr>
      <w:r w:rsidRPr="004C3AA8">
        <w:rPr>
          <w:b/>
        </w:rPr>
        <w:t>The Solar Market and Technologies</w:t>
      </w:r>
    </w:p>
    <w:p w14:paraId="356A0499" w14:textId="3F3F2877" w:rsidR="00762DA3" w:rsidRPr="00762DA3" w:rsidRDefault="00762DA3">
      <w:pPr>
        <w:rPr>
          <w:b/>
          <w:i/>
        </w:rPr>
      </w:pPr>
      <w:r w:rsidRPr="00762DA3">
        <w:rPr>
          <w:b/>
          <w:i/>
        </w:rPr>
        <w:t>Solar Market</w:t>
      </w:r>
    </w:p>
    <w:p w14:paraId="5E32C465" w14:textId="77777777" w:rsidR="00ED2F6A" w:rsidRDefault="00ED2F6A" w:rsidP="00ED2F6A">
      <w:pPr>
        <w:widowControl w:val="0"/>
        <w:autoSpaceDE w:val="0"/>
        <w:autoSpaceDN w:val="0"/>
        <w:adjustRightInd w:val="0"/>
        <w:rPr>
          <w:rFonts w:cs="Verdana"/>
          <w:color w:val="262626"/>
        </w:rPr>
      </w:pPr>
      <w:r>
        <w:rPr>
          <w:rFonts w:ascii="Times New Roman" w:hAnsi="Times New Roman" w:cs="Times New Roman"/>
        </w:rPr>
        <w:t>The market in the US is shifting from commercial and utility solar installations to home installations. In the first quarter of 2014, solar represented 74% of new renewable and natural gas capacity additions, and rooftop solar overtook commercial scale installations. Moreover, the solar capacity additions in that quarter were 79% higher than the first quarter of 2013, amounting to an installation in the US every 3 minutes and “</w:t>
      </w:r>
      <w:r w:rsidRPr="009F135B">
        <w:rPr>
          <w:rFonts w:cs="Verdana"/>
          <w:color w:val="262626"/>
        </w:rPr>
        <w:t>signaling towards a more reliable growth market for investors</w:t>
      </w:r>
      <w:r>
        <w:rPr>
          <w:rFonts w:cs="Verdana"/>
          <w:color w:val="262626"/>
        </w:rPr>
        <w:t>.”</w:t>
      </w:r>
      <w:r>
        <w:rPr>
          <w:rStyle w:val="FootnoteReference"/>
          <w:rFonts w:cs="Verdana"/>
          <w:color w:val="262626"/>
        </w:rPr>
        <w:footnoteReference w:id="5"/>
      </w:r>
      <w:r>
        <w:rPr>
          <w:rFonts w:cs="Verdana"/>
          <w:color w:val="262626"/>
        </w:rPr>
        <w:t xml:space="preserve"> In addition to developing into a resilient market, solar costs are beginning to rival those of natural gas plants.</w:t>
      </w:r>
      <w:r>
        <w:rPr>
          <w:rStyle w:val="FootnoteReference"/>
          <w:rFonts w:cs="Verdana"/>
          <w:color w:val="262626"/>
        </w:rPr>
        <w:footnoteReference w:id="6"/>
      </w:r>
      <w:r>
        <w:rPr>
          <w:rFonts w:cs="Verdana"/>
          <w:color w:val="262626"/>
        </w:rPr>
        <w:t xml:space="preserve">  According to a recent study, distributed energy resources in general are poised to “cost utilities up to $48 billion annually by 2025.”</w:t>
      </w:r>
      <w:r>
        <w:rPr>
          <w:rStyle w:val="FootnoteReference"/>
          <w:rFonts w:cs="Verdana"/>
          <w:color w:val="262626"/>
        </w:rPr>
        <w:footnoteReference w:id="7"/>
      </w:r>
    </w:p>
    <w:p w14:paraId="4BC81A75" w14:textId="77777777" w:rsidR="00DE6C46" w:rsidRDefault="00DE6C46" w:rsidP="00ED2F6A">
      <w:pPr>
        <w:widowControl w:val="0"/>
        <w:autoSpaceDE w:val="0"/>
        <w:autoSpaceDN w:val="0"/>
        <w:adjustRightInd w:val="0"/>
        <w:rPr>
          <w:rFonts w:cs="Verdana"/>
          <w:color w:val="262626"/>
        </w:rPr>
      </w:pPr>
    </w:p>
    <w:p w14:paraId="2F1E8EC6" w14:textId="6277A401" w:rsidR="00DE6C46" w:rsidRDefault="00DE6C46" w:rsidP="00DE6C46">
      <w:pPr>
        <w:widowControl w:val="0"/>
        <w:autoSpaceDE w:val="0"/>
        <w:autoSpaceDN w:val="0"/>
        <w:adjustRightInd w:val="0"/>
        <w:ind w:left="2160"/>
        <w:rPr>
          <w:rFonts w:cs="Verdana"/>
          <w:color w:val="262626"/>
        </w:rPr>
      </w:pPr>
      <w:r>
        <w:rPr>
          <w:rFonts w:ascii="Helvetica" w:hAnsi="Helvetica" w:cs="Helvetica"/>
          <w:noProof/>
        </w:rPr>
        <w:drawing>
          <wp:inline distT="0" distB="0" distL="0" distR="0" wp14:anchorId="4F5E22D1" wp14:editId="50102AE6">
            <wp:extent cx="2628900" cy="18332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9945" cy="1834001"/>
                    </a:xfrm>
                    <a:prstGeom prst="rect">
                      <a:avLst/>
                    </a:prstGeom>
                    <a:noFill/>
                    <a:ln>
                      <a:noFill/>
                    </a:ln>
                  </pic:spPr>
                </pic:pic>
              </a:graphicData>
            </a:graphic>
          </wp:inline>
        </w:drawing>
      </w:r>
    </w:p>
    <w:p w14:paraId="2D34D906" w14:textId="22DFFD0C" w:rsidR="00831CB6" w:rsidRDefault="00DE6C46" w:rsidP="00DE6C46">
      <w:pPr>
        <w:widowControl w:val="0"/>
        <w:autoSpaceDE w:val="0"/>
        <w:autoSpaceDN w:val="0"/>
        <w:adjustRightInd w:val="0"/>
        <w:ind w:left="1440" w:firstLine="720"/>
        <w:rPr>
          <w:rFonts w:cs="Verdana"/>
          <w:color w:val="262626"/>
          <w:sz w:val="16"/>
          <w:szCs w:val="16"/>
        </w:rPr>
      </w:pPr>
      <w:r>
        <w:rPr>
          <w:rFonts w:cs="Verdana"/>
          <w:color w:val="262626"/>
          <w:sz w:val="16"/>
          <w:szCs w:val="16"/>
        </w:rPr>
        <w:t>Source:  Solar Foundation</w:t>
      </w:r>
    </w:p>
    <w:p w14:paraId="174A926C" w14:textId="77777777" w:rsidR="00DE6C46" w:rsidRPr="00DE6C46" w:rsidRDefault="00DE6C46" w:rsidP="00ED2F6A">
      <w:pPr>
        <w:widowControl w:val="0"/>
        <w:autoSpaceDE w:val="0"/>
        <w:autoSpaceDN w:val="0"/>
        <w:adjustRightInd w:val="0"/>
        <w:rPr>
          <w:rFonts w:cs="Verdana"/>
          <w:color w:val="262626"/>
          <w:sz w:val="16"/>
          <w:szCs w:val="16"/>
        </w:rPr>
      </w:pPr>
    </w:p>
    <w:p w14:paraId="05FB779A" w14:textId="77777777" w:rsidR="00DE6C46" w:rsidRDefault="00DE6C46" w:rsidP="00ED2F6A">
      <w:pPr>
        <w:widowControl w:val="0"/>
        <w:autoSpaceDE w:val="0"/>
        <w:autoSpaceDN w:val="0"/>
        <w:adjustRightInd w:val="0"/>
        <w:rPr>
          <w:rFonts w:cs="Verdana"/>
          <w:color w:val="262626"/>
        </w:rPr>
      </w:pPr>
    </w:p>
    <w:p w14:paraId="3E64D7DA" w14:textId="456444BC" w:rsidR="00831CB6" w:rsidRDefault="00831CB6" w:rsidP="00ED2F6A">
      <w:pPr>
        <w:widowControl w:val="0"/>
        <w:autoSpaceDE w:val="0"/>
        <w:autoSpaceDN w:val="0"/>
        <w:adjustRightInd w:val="0"/>
        <w:rPr>
          <w:rFonts w:cs="Verdana"/>
          <w:color w:val="262626"/>
        </w:rPr>
      </w:pPr>
      <w:r>
        <w:rPr>
          <w:rFonts w:cs="Verdana"/>
          <w:color w:val="262626"/>
        </w:rPr>
        <w:t xml:space="preserve">The trend in 2013 accelerated in 2014.  2014 saw a solar systems being installed every 2.5 minutes, with the residential sector leading the way, on $15 billion of investment.  The number of installations reached 200,000 homes accumulatively and is expected to climb to 900,000 this year and be over one million in 2016.  The remarkable pace of the solar PV build-out is punctuated by comparing the rate </w:t>
      </w:r>
      <w:r w:rsidR="000F78AA">
        <w:rPr>
          <w:rFonts w:cs="Verdana"/>
          <w:color w:val="262626"/>
        </w:rPr>
        <w:t xml:space="preserve">of </w:t>
      </w:r>
      <w:r>
        <w:rPr>
          <w:rFonts w:cs="Verdana"/>
          <w:color w:val="262626"/>
        </w:rPr>
        <w:t>installations ten years ago.  At that time, one installation occurred every 2 hours.</w:t>
      </w:r>
      <w:r>
        <w:rPr>
          <w:rStyle w:val="FootnoteReference"/>
          <w:rFonts w:cs="Verdana"/>
          <w:color w:val="262626"/>
        </w:rPr>
        <w:footnoteReference w:id="8"/>
      </w:r>
    </w:p>
    <w:p w14:paraId="747B2080" w14:textId="7998B98B" w:rsidR="009E7367" w:rsidRDefault="009E7367" w:rsidP="00D75BD4">
      <w:pPr>
        <w:widowControl w:val="0"/>
        <w:autoSpaceDE w:val="0"/>
        <w:autoSpaceDN w:val="0"/>
        <w:adjustRightInd w:val="0"/>
        <w:ind w:left="1440"/>
        <w:rPr>
          <w:rFonts w:cs="Verdana"/>
          <w:color w:val="262626"/>
        </w:rPr>
      </w:pPr>
    </w:p>
    <w:p w14:paraId="6E6D747C" w14:textId="4441541F" w:rsidR="00D75BD4" w:rsidRPr="00831CB6" w:rsidRDefault="00382F5D" w:rsidP="00382F5D">
      <w:pPr>
        <w:widowControl w:val="0"/>
        <w:autoSpaceDE w:val="0"/>
        <w:autoSpaceDN w:val="0"/>
        <w:adjustRightInd w:val="0"/>
        <w:ind w:left="1440"/>
        <w:rPr>
          <w:rFonts w:cs="Verdana"/>
          <w:color w:val="262626"/>
          <w:sz w:val="18"/>
          <w:szCs w:val="18"/>
        </w:rPr>
      </w:pPr>
      <w:r w:rsidRPr="00382F5D">
        <w:rPr>
          <w:rFonts w:cs="Verdana"/>
          <w:noProof/>
          <w:color w:val="262626"/>
          <w:sz w:val="18"/>
          <w:szCs w:val="18"/>
        </w:rPr>
        <w:drawing>
          <wp:inline distT="0" distB="0" distL="0" distR="0" wp14:anchorId="6EA52E74" wp14:editId="51F41DD0">
            <wp:extent cx="3200284" cy="1816087"/>
            <wp:effectExtent l="0" t="0" r="63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377" cy="1816140"/>
                    </a:xfrm>
                    <a:prstGeom prst="rect">
                      <a:avLst/>
                    </a:prstGeom>
                    <a:noFill/>
                    <a:ln>
                      <a:noFill/>
                    </a:ln>
                  </pic:spPr>
                </pic:pic>
              </a:graphicData>
            </a:graphic>
          </wp:inline>
        </w:drawing>
      </w:r>
    </w:p>
    <w:p w14:paraId="47012E92" w14:textId="3830D3FD" w:rsidR="00D75BD4" w:rsidRPr="00382F5D" w:rsidRDefault="00382F5D" w:rsidP="00ED2F6A">
      <w:pPr>
        <w:widowControl w:val="0"/>
        <w:autoSpaceDE w:val="0"/>
        <w:autoSpaceDN w:val="0"/>
        <w:adjustRightInd w:val="0"/>
        <w:rPr>
          <w:rFonts w:cs="Verdana"/>
          <w:color w:val="262626"/>
          <w:sz w:val="16"/>
          <w:szCs w:val="16"/>
        </w:rPr>
      </w:pPr>
      <w:r>
        <w:rPr>
          <w:rFonts w:cs="Verdana"/>
          <w:color w:val="262626"/>
        </w:rPr>
        <w:tab/>
      </w:r>
      <w:r>
        <w:rPr>
          <w:rFonts w:cs="Verdana"/>
          <w:color w:val="262626"/>
        </w:rPr>
        <w:tab/>
      </w:r>
      <w:r>
        <w:rPr>
          <w:rFonts w:cs="Verdana"/>
          <w:color w:val="262626"/>
          <w:sz w:val="16"/>
          <w:szCs w:val="16"/>
        </w:rPr>
        <w:t>Source: GTM Research</w:t>
      </w:r>
    </w:p>
    <w:p w14:paraId="13646651" w14:textId="77777777" w:rsidR="00D75BD4" w:rsidRDefault="00D75BD4" w:rsidP="00ED2F6A">
      <w:pPr>
        <w:widowControl w:val="0"/>
        <w:autoSpaceDE w:val="0"/>
        <w:autoSpaceDN w:val="0"/>
        <w:adjustRightInd w:val="0"/>
        <w:rPr>
          <w:rFonts w:cs="Verdana"/>
          <w:color w:val="262626"/>
        </w:rPr>
      </w:pPr>
    </w:p>
    <w:p w14:paraId="4FCBB38E" w14:textId="18476CB3" w:rsidR="009E7367" w:rsidRDefault="009E7367" w:rsidP="00ED2F6A">
      <w:pPr>
        <w:widowControl w:val="0"/>
        <w:autoSpaceDE w:val="0"/>
        <w:autoSpaceDN w:val="0"/>
        <w:adjustRightInd w:val="0"/>
        <w:rPr>
          <w:rFonts w:cs="Verdana"/>
          <w:color w:val="262626"/>
        </w:rPr>
      </w:pPr>
      <w:r>
        <w:rPr>
          <w:rFonts w:cs="Verdana"/>
          <w:color w:val="262626"/>
        </w:rPr>
        <w:t>The US</w:t>
      </w:r>
      <w:r w:rsidR="00D75BD4">
        <w:rPr>
          <w:rFonts w:cs="Verdana"/>
          <w:color w:val="262626"/>
        </w:rPr>
        <w:t xml:space="preserve"> is now home to more than 16 gigawatts (16,000</w:t>
      </w:r>
      <w:r>
        <w:rPr>
          <w:rFonts w:cs="Verdana"/>
          <w:color w:val="262626"/>
        </w:rPr>
        <w:t xml:space="preserve"> megawatts</w:t>
      </w:r>
      <w:r w:rsidR="00D75BD4">
        <w:rPr>
          <w:rFonts w:cs="Verdana"/>
          <w:color w:val="262626"/>
        </w:rPr>
        <w:t>) of solar PV, up from 1.2 gi</w:t>
      </w:r>
      <w:r>
        <w:rPr>
          <w:rFonts w:cs="Verdana"/>
          <w:color w:val="262626"/>
        </w:rPr>
        <w:t xml:space="preserve">gawatts 5 years ago. 2014 was also the biggest year for concentrating solar facilities, which experienced additions of 767 megawatts.  While the residential market continues to gain momentum, the commercial solar PV market has remained and is expected to remain flat.  </w:t>
      </w:r>
      <w:r w:rsidR="00D75BD4">
        <w:rPr>
          <w:rFonts w:cs="Verdana"/>
          <w:color w:val="262626"/>
        </w:rPr>
        <w:t xml:space="preserve">Estimates are that the US </w:t>
      </w:r>
      <w:r w:rsidR="005C3DF9">
        <w:rPr>
          <w:rFonts w:cs="Verdana"/>
          <w:color w:val="262626"/>
        </w:rPr>
        <w:t xml:space="preserve">will enjoy 8,000 megawatts of installations in 2015 and 12,000 in 2016.  </w:t>
      </w:r>
      <w:r>
        <w:rPr>
          <w:rFonts w:cs="Verdana"/>
          <w:color w:val="262626"/>
        </w:rPr>
        <w:t xml:space="preserve">Another interesting development is that third-party owned installations represent 67% to 92% of the market in </w:t>
      </w:r>
      <w:r w:rsidR="00D75BD4">
        <w:rPr>
          <w:rFonts w:cs="Verdana"/>
          <w:color w:val="262626"/>
        </w:rPr>
        <w:t>New York and New Jersey respectively but less so in California and Nevada.  In these states, companies are beginning to give out loans and customers are beginning to pay cash due to the price reductions solar PV has experienced over the last 4 to 5 years.</w:t>
      </w:r>
      <w:r w:rsidR="005C3DF9">
        <w:rPr>
          <w:rStyle w:val="FootnoteReference"/>
          <w:rFonts w:cs="Verdana"/>
          <w:color w:val="262626"/>
        </w:rPr>
        <w:footnoteReference w:id="9"/>
      </w:r>
      <w:r w:rsidR="00D75BD4">
        <w:rPr>
          <w:rFonts w:cs="Verdana"/>
          <w:color w:val="262626"/>
        </w:rPr>
        <w:t xml:space="preserve">   </w:t>
      </w:r>
    </w:p>
    <w:p w14:paraId="0913B8B3" w14:textId="77777777" w:rsidR="005C3DF9" w:rsidRDefault="005C3DF9" w:rsidP="00ED2F6A">
      <w:pPr>
        <w:widowControl w:val="0"/>
        <w:autoSpaceDE w:val="0"/>
        <w:autoSpaceDN w:val="0"/>
        <w:adjustRightInd w:val="0"/>
        <w:rPr>
          <w:rFonts w:cs="Verdana"/>
          <w:color w:val="262626"/>
        </w:rPr>
      </w:pPr>
    </w:p>
    <w:p w14:paraId="54A15FB3" w14:textId="4DE14A77" w:rsidR="005C3DF9" w:rsidRDefault="005C3DF9" w:rsidP="00EC3EAA">
      <w:pPr>
        <w:widowControl w:val="0"/>
        <w:autoSpaceDE w:val="0"/>
        <w:autoSpaceDN w:val="0"/>
        <w:adjustRightInd w:val="0"/>
        <w:ind w:left="720"/>
        <w:rPr>
          <w:rFonts w:cs="Verdana"/>
          <w:color w:val="262626"/>
        </w:rPr>
      </w:pPr>
      <w:r>
        <w:rPr>
          <w:noProof/>
        </w:rPr>
        <w:drawing>
          <wp:inline distT="0" distB="0" distL="0" distR="0" wp14:anchorId="56F29B69" wp14:editId="2A2D33BA">
            <wp:extent cx="3617406" cy="205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1020" cy="2059455"/>
                    </a:xfrm>
                    <a:prstGeom prst="rect">
                      <a:avLst/>
                    </a:prstGeom>
                    <a:noFill/>
                    <a:ln>
                      <a:noFill/>
                    </a:ln>
                  </pic:spPr>
                </pic:pic>
              </a:graphicData>
            </a:graphic>
          </wp:inline>
        </w:drawing>
      </w:r>
    </w:p>
    <w:p w14:paraId="5CA53AF2" w14:textId="4EEB6851" w:rsidR="00ED2F6A" w:rsidRDefault="005C3DF9" w:rsidP="00EC3EAA">
      <w:pPr>
        <w:widowControl w:val="0"/>
        <w:autoSpaceDE w:val="0"/>
        <w:autoSpaceDN w:val="0"/>
        <w:adjustRightInd w:val="0"/>
        <w:ind w:firstLine="720"/>
        <w:rPr>
          <w:rFonts w:cs="Verdana"/>
          <w:color w:val="262626"/>
          <w:sz w:val="20"/>
          <w:szCs w:val="20"/>
        </w:rPr>
      </w:pPr>
      <w:r w:rsidRPr="005C3DF9">
        <w:rPr>
          <w:rFonts w:cs="Verdana"/>
          <w:color w:val="262626"/>
          <w:sz w:val="20"/>
          <w:szCs w:val="20"/>
        </w:rPr>
        <w:t>Source: SEIA &amp; GTM Research</w:t>
      </w:r>
    </w:p>
    <w:p w14:paraId="7E28DDAA" w14:textId="77777777" w:rsidR="009A2996" w:rsidRPr="005C3DF9" w:rsidRDefault="009A2996" w:rsidP="00EC3EAA">
      <w:pPr>
        <w:widowControl w:val="0"/>
        <w:autoSpaceDE w:val="0"/>
        <w:autoSpaceDN w:val="0"/>
        <w:adjustRightInd w:val="0"/>
        <w:ind w:firstLine="720"/>
        <w:rPr>
          <w:rFonts w:cs="Verdana"/>
          <w:color w:val="262626"/>
          <w:sz w:val="20"/>
          <w:szCs w:val="20"/>
        </w:rPr>
      </w:pPr>
    </w:p>
    <w:p w14:paraId="7F818695" w14:textId="77777777" w:rsidR="00DE6C46" w:rsidRDefault="00DE6C46" w:rsidP="00ED2F6A">
      <w:pPr>
        <w:widowControl w:val="0"/>
        <w:autoSpaceDE w:val="0"/>
        <w:autoSpaceDN w:val="0"/>
        <w:adjustRightInd w:val="0"/>
        <w:rPr>
          <w:rFonts w:cs="Verdana"/>
          <w:color w:val="262626"/>
        </w:rPr>
      </w:pPr>
    </w:p>
    <w:p w14:paraId="2714ED0E" w14:textId="77777777" w:rsidR="00DE6C46" w:rsidRDefault="00DE6C46" w:rsidP="00ED2F6A">
      <w:pPr>
        <w:widowControl w:val="0"/>
        <w:autoSpaceDE w:val="0"/>
        <w:autoSpaceDN w:val="0"/>
        <w:adjustRightInd w:val="0"/>
        <w:rPr>
          <w:rFonts w:cs="Verdana"/>
          <w:color w:val="262626"/>
        </w:rPr>
      </w:pPr>
    </w:p>
    <w:p w14:paraId="68D6ED5A" w14:textId="7DD45B1E" w:rsidR="00DE6C46" w:rsidRDefault="00382F5D" w:rsidP="00ED2F6A">
      <w:pPr>
        <w:widowControl w:val="0"/>
        <w:autoSpaceDE w:val="0"/>
        <w:autoSpaceDN w:val="0"/>
        <w:adjustRightInd w:val="0"/>
        <w:rPr>
          <w:rFonts w:cs="Verdana"/>
          <w:color w:val="262626"/>
        </w:rPr>
      </w:pPr>
      <w:r>
        <w:rPr>
          <w:rFonts w:cs="Verdana"/>
          <w:color w:val="262626"/>
        </w:rPr>
        <w:t>In terms of solar jobs, this</w:t>
      </w:r>
      <w:r w:rsidR="00DE6C46">
        <w:rPr>
          <w:rFonts w:cs="Verdana"/>
          <w:color w:val="262626"/>
        </w:rPr>
        <w:t xml:space="preserve"> graph speaks for itself:</w:t>
      </w:r>
    </w:p>
    <w:p w14:paraId="3BDF0781" w14:textId="77777777" w:rsidR="00DE6C46" w:rsidRDefault="00DE6C46" w:rsidP="00ED2F6A">
      <w:pPr>
        <w:widowControl w:val="0"/>
        <w:autoSpaceDE w:val="0"/>
        <w:autoSpaceDN w:val="0"/>
        <w:adjustRightInd w:val="0"/>
        <w:rPr>
          <w:rFonts w:cs="Verdana"/>
          <w:color w:val="262626"/>
        </w:rPr>
      </w:pPr>
    </w:p>
    <w:p w14:paraId="185C898A" w14:textId="1DBB8640" w:rsidR="00DE6C46" w:rsidRDefault="00DE6C46" w:rsidP="00DE6C46">
      <w:pPr>
        <w:widowControl w:val="0"/>
        <w:autoSpaceDE w:val="0"/>
        <w:autoSpaceDN w:val="0"/>
        <w:adjustRightInd w:val="0"/>
        <w:ind w:left="1440"/>
        <w:rPr>
          <w:rFonts w:cs="Verdana"/>
          <w:color w:val="262626"/>
        </w:rPr>
      </w:pPr>
      <w:r>
        <w:rPr>
          <w:rFonts w:ascii="Helvetica" w:hAnsi="Helvetica" w:cs="Helvetica"/>
          <w:noProof/>
        </w:rPr>
        <w:drawing>
          <wp:inline distT="0" distB="0" distL="0" distR="0" wp14:anchorId="07928360" wp14:editId="36CF5A4D">
            <wp:extent cx="3398844" cy="28448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9211" cy="2845107"/>
                    </a:xfrm>
                    <a:prstGeom prst="rect">
                      <a:avLst/>
                    </a:prstGeom>
                    <a:noFill/>
                    <a:ln>
                      <a:noFill/>
                    </a:ln>
                  </pic:spPr>
                </pic:pic>
              </a:graphicData>
            </a:graphic>
          </wp:inline>
        </w:drawing>
      </w:r>
    </w:p>
    <w:p w14:paraId="3012BED6" w14:textId="7C2894BD" w:rsidR="00DE6C46" w:rsidRPr="00DE6C46" w:rsidRDefault="00DE6C46" w:rsidP="00DE6C46">
      <w:pPr>
        <w:widowControl w:val="0"/>
        <w:autoSpaceDE w:val="0"/>
        <w:autoSpaceDN w:val="0"/>
        <w:adjustRightInd w:val="0"/>
        <w:ind w:left="720" w:firstLine="720"/>
        <w:rPr>
          <w:rFonts w:cs="Verdana"/>
          <w:color w:val="262626"/>
          <w:sz w:val="16"/>
          <w:szCs w:val="16"/>
        </w:rPr>
      </w:pPr>
      <w:r>
        <w:rPr>
          <w:rFonts w:cs="Verdana"/>
          <w:color w:val="262626"/>
          <w:sz w:val="16"/>
          <w:szCs w:val="16"/>
        </w:rPr>
        <w:t>Source: Solar Foundation</w:t>
      </w:r>
    </w:p>
    <w:p w14:paraId="5A2FF075" w14:textId="77777777" w:rsidR="00DE6C46" w:rsidRDefault="00DE6C46" w:rsidP="00ED2F6A">
      <w:pPr>
        <w:widowControl w:val="0"/>
        <w:autoSpaceDE w:val="0"/>
        <w:autoSpaceDN w:val="0"/>
        <w:adjustRightInd w:val="0"/>
        <w:rPr>
          <w:rFonts w:cs="Verdana"/>
          <w:color w:val="262626"/>
        </w:rPr>
      </w:pPr>
    </w:p>
    <w:p w14:paraId="19C77DC3" w14:textId="43BCD6FA" w:rsidR="006545C9" w:rsidRDefault="00ED2F6A" w:rsidP="00ED2F6A">
      <w:pPr>
        <w:widowControl w:val="0"/>
        <w:autoSpaceDE w:val="0"/>
        <w:autoSpaceDN w:val="0"/>
        <w:adjustRightInd w:val="0"/>
        <w:rPr>
          <w:rFonts w:cs="Verdana"/>
          <w:color w:val="262626"/>
        </w:rPr>
      </w:pPr>
      <w:r>
        <w:rPr>
          <w:rFonts w:cs="Verdana"/>
          <w:color w:val="262626"/>
        </w:rPr>
        <w:t>The global market is also expected to remain healthy and grow.  UBS (a financial services firm) estimates that “[a]s a result of rapid growth, we expect the solar industry (modules and installations) to surpass the $100 billion threshold in 2016 already.”</w:t>
      </w:r>
      <w:r>
        <w:rPr>
          <w:rStyle w:val="FootnoteReference"/>
          <w:rFonts w:cs="Verdana"/>
          <w:color w:val="262626"/>
        </w:rPr>
        <w:footnoteReference w:id="10"/>
      </w:r>
      <w:r>
        <w:rPr>
          <w:rFonts w:cs="Verdana"/>
          <w:color w:val="262626"/>
        </w:rPr>
        <w:t xml:space="preserve">  Morgan Stanley predicts 47 gigawatts (47,000 megawatts) of global solar installations per year through 2020, with the US carving out 8 gigawatts, China 13 </w:t>
      </w:r>
      <w:r w:rsidR="005C3DF9">
        <w:rPr>
          <w:rFonts w:cs="Verdana"/>
          <w:color w:val="262626"/>
        </w:rPr>
        <w:t xml:space="preserve"> </w:t>
      </w:r>
      <w:r>
        <w:rPr>
          <w:rFonts w:cs="Verdana"/>
          <w:color w:val="262626"/>
        </w:rPr>
        <w:t>gigawatts and Europe 10 gigawatts per year.</w:t>
      </w:r>
      <w:r>
        <w:rPr>
          <w:rStyle w:val="FootnoteReference"/>
          <w:rFonts w:cs="Verdana"/>
          <w:color w:val="262626"/>
        </w:rPr>
        <w:footnoteReference w:id="11"/>
      </w:r>
      <w:r>
        <w:rPr>
          <w:rFonts w:cs="Verdana"/>
          <w:color w:val="262626"/>
        </w:rPr>
        <w:t xml:space="preserve">  </w:t>
      </w:r>
      <w:r w:rsidR="005E1AA6">
        <w:rPr>
          <w:rFonts w:cs="Verdana"/>
          <w:color w:val="262626"/>
        </w:rPr>
        <w:t>Deutsche Bank predicts 54 gigawatts of solar PV capacity additions in 2015.</w:t>
      </w:r>
      <w:r w:rsidR="00A81C59">
        <w:rPr>
          <w:rStyle w:val="FootnoteReference"/>
          <w:rFonts w:cs="Verdana"/>
          <w:color w:val="262626"/>
        </w:rPr>
        <w:footnoteReference w:id="12"/>
      </w:r>
      <w:r w:rsidR="005E1AA6">
        <w:rPr>
          <w:rFonts w:cs="Verdana"/>
          <w:color w:val="262626"/>
        </w:rPr>
        <w:t xml:space="preserve"> </w:t>
      </w:r>
      <w:r>
        <w:rPr>
          <w:rFonts w:cs="Verdana"/>
          <w:color w:val="262626"/>
        </w:rPr>
        <w:t>Citigroup predicts a robust global solar market, “dismissing the International Energy’s Agency estimate of $1.3 trillion investment by 2030 as highly conservative.”</w:t>
      </w:r>
      <w:r>
        <w:rPr>
          <w:rStyle w:val="FootnoteReference"/>
          <w:rFonts w:cs="Verdana"/>
          <w:color w:val="262626"/>
        </w:rPr>
        <w:footnoteReference w:id="13"/>
      </w:r>
      <w:r>
        <w:rPr>
          <w:rFonts w:cs="Verdana"/>
          <w:color w:val="262626"/>
        </w:rPr>
        <w:t xml:space="preserve"> (As a comparison, it takes nearly decade to build 1 or 2 thousand megawatts of nuclear power in the US at excessive</w:t>
      </w:r>
    </w:p>
    <w:p w14:paraId="02B5C8E8" w14:textId="0BB28509" w:rsidR="009D20F8" w:rsidRDefault="00ED2F6A" w:rsidP="00ED2F6A">
      <w:pPr>
        <w:widowControl w:val="0"/>
        <w:autoSpaceDE w:val="0"/>
        <w:autoSpaceDN w:val="0"/>
        <w:adjustRightInd w:val="0"/>
        <w:rPr>
          <w:rFonts w:cs="Verdana"/>
          <w:color w:val="262626"/>
        </w:rPr>
      </w:pPr>
      <w:r>
        <w:rPr>
          <w:rFonts w:cs="Verdana"/>
          <w:color w:val="262626"/>
        </w:rPr>
        <w:t>cost, and solar is not plagued by cost overruns or construction delays th</w:t>
      </w:r>
      <w:r w:rsidR="006545C9">
        <w:rPr>
          <w:rFonts w:cs="Verdana"/>
          <w:color w:val="262626"/>
        </w:rPr>
        <w:t>at plague the nuclear industry.</w:t>
      </w:r>
    </w:p>
    <w:p w14:paraId="00CCCB0E" w14:textId="77777777" w:rsidR="009A2996" w:rsidRDefault="009A2996" w:rsidP="00ED2F6A">
      <w:pPr>
        <w:widowControl w:val="0"/>
        <w:autoSpaceDE w:val="0"/>
        <w:autoSpaceDN w:val="0"/>
        <w:adjustRightInd w:val="0"/>
        <w:rPr>
          <w:rFonts w:cs="Verdana"/>
          <w:color w:val="262626"/>
        </w:rPr>
      </w:pPr>
    </w:p>
    <w:p w14:paraId="4B969B25" w14:textId="23564A56" w:rsidR="009A2996" w:rsidRPr="00762DA3" w:rsidRDefault="005E1AA6" w:rsidP="00ED2F6A">
      <w:pPr>
        <w:widowControl w:val="0"/>
        <w:autoSpaceDE w:val="0"/>
        <w:autoSpaceDN w:val="0"/>
        <w:adjustRightInd w:val="0"/>
        <w:rPr>
          <w:rFonts w:cs="Verdana"/>
          <w:b/>
          <w:i/>
          <w:color w:val="262626"/>
        </w:rPr>
      </w:pPr>
      <w:r w:rsidRPr="00762DA3">
        <w:rPr>
          <w:rFonts w:cs="Verdana"/>
          <w:b/>
          <w:i/>
          <w:color w:val="262626"/>
        </w:rPr>
        <w:t>Improving Solar Cell Efficiency</w:t>
      </w:r>
    </w:p>
    <w:p w14:paraId="7C23DBC3" w14:textId="6CE61453" w:rsidR="005E1AA6" w:rsidRDefault="00CD7E2D" w:rsidP="00ED2F6A">
      <w:pPr>
        <w:widowControl w:val="0"/>
        <w:autoSpaceDE w:val="0"/>
        <w:autoSpaceDN w:val="0"/>
        <w:adjustRightInd w:val="0"/>
        <w:rPr>
          <w:rFonts w:cs="Verdana"/>
          <w:color w:val="262626"/>
        </w:rPr>
      </w:pPr>
      <w:r>
        <w:rPr>
          <w:rFonts w:cs="Verdana"/>
          <w:color w:val="262626"/>
        </w:rPr>
        <w:t xml:space="preserve">Major breakthroughs in solar research have the potential of greatly enhancing the efficiency of solar cells.  </w:t>
      </w:r>
    </w:p>
    <w:p w14:paraId="51A69329" w14:textId="77777777" w:rsidR="00CD7E2D" w:rsidRDefault="00CD7E2D" w:rsidP="00ED2F6A">
      <w:pPr>
        <w:widowControl w:val="0"/>
        <w:autoSpaceDE w:val="0"/>
        <w:autoSpaceDN w:val="0"/>
        <w:adjustRightInd w:val="0"/>
        <w:rPr>
          <w:rFonts w:cs="Verdana"/>
          <w:color w:val="262626"/>
        </w:rPr>
      </w:pPr>
    </w:p>
    <w:p w14:paraId="7E687205" w14:textId="601E8369" w:rsidR="00CD7E2D" w:rsidRDefault="00CD7E2D" w:rsidP="00ED2F6A">
      <w:pPr>
        <w:widowControl w:val="0"/>
        <w:autoSpaceDE w:val="0"/>
        <w:autoSpaceDN w:val="0"/>
        <w:adjustRightInd w:val="0"/>
        <w:rPr>
          <w:rFonts w:cs="Verdana"/>
          <w:color w:val="262626"/>
        </w:rPr>
      </w:pPr>
      <w:r>
        <w:rPr>
          <w:rFonts w:cs="Verdana"/>
          <w:color w:val="262626"/>
        </w:rPr>
        <w:t xml:space="preserve">By splitting sunlight into 4 different cells, instead of just using one as is currently the case, researchers at the University of South New Wales (Australia) have reached cell efficiencies of 40% in outdoor tests in Sydney and the US.  They hope to achieve 45% efficiency in the next few years.  The researchers assert that since they are using </w:t>
      </w:r>
      <w:r w:rsidR="0094589A">
        <w:rPr>
          <w:rFonts w:cs="Verdana"/>
          <w:color w:val="262626"/>
        </w:rPr>
        <w:t>commercial cells “in a new way,” the industry will be able to readily adopt the technology once it has been piloted.</w:t>
      </w:r>
      <w:r w:rsidR="0094589A">
        <w:rPr>
          <w:rStyle w:val="FootnoteReference"/>
          <w:rFonts w:cs="Verdana"/>
          <w:color w:val="262626"/>
        </w:rPr>
        <w:footnoteReference w:id="14"/>
      </w:r>
      <w:r w:rsidR="0094589A">
        <w:rPr>
          <w:rFonts w:cs="Verdana"/>
          <w:color w:val="262626"/>
        </w:rPr>
        <w:t xml:space="preserve">  </w:t>
      </w:r>
    </w:p>
    <w:p w14:paraId="78F7C80A" w14:textId="77777777" w:rsidR="0094589A" w:rsidRDefault="0094589A" w:rsidP="00ED2F6A">
      <w:pPr>
        <w:widowControl w:val="0"/>
        <w:autoSpaceDE w:val="0"/>
        <w:autoSpaceDN w:val="0"/>
        <w:adjustRightInd w:val="0"/>
        <w:rPr>
          <w:rFonts w:cs="Verdana"/>
          <w:color w:val="262626"/>
        </w:rPr>
      </w:pPr>
    </w:p>
    <w:p w14:paraId="54C21EB1" w14:textId="0A296709" w:rsidR="0094589A" w:rsidRDefault="0094589A" w:rsidP="00ED2F6A">
      <w:pPr>
        <w:widowControl w:val="0"/>
        <w:autoSpaceDE w:val="0"/>
        <w:autoSpaceDN w:val="0"/>
        <w:adjustRightInd w:val="0"/>
        <w:rPr>
          <w:rFonts w:cs="Times"/>
        </w:rPr>
      </w:pPr>
      <w:r w:rsidRPr="0094589A">
        <w:rPr>
          <w:rFonts w:cs="Times"/>
        </w:rPr>
        <w:t>Soitec and CEA-Le</w:t>
      </w:r>
      <w:r>
        <w:rPr>
          <w:rFonts w:cs="Times"/>
        </w:rPr>
        <w:t xml:space="preserve">ti in France, with support of </w:t>
      </w:r>
      <w:r w:rsidRPr="0094589A">
        <w:rPr>
          <w:rFonts w:cs="Times"/>
        </w:rPr>
        <w:t>Fraunhofer Institute for Sol</w:t>
      </w:r>
      <w:r>
        <w:rPr>
          <w:rFonts w:cs="Times"/>
        </w:rPr>
        <w:t xml:space="preserve">ar Energy Systems in Germany have developed a new multi-junction solar cell, reaching efficiencies of 46%.  Multi-junction cells use different materials to convert a broader spectrum of light into electricity.  Researchers believe that efficiencies of as high as 50% can be achieved.  Soitec and CEA-Leti have built a manufacturing line in France to produce the new cells. </w:t>
      </w:r>
    </w:p>
    <w:p w14:paraId="5F52E509" w14:textId="77777777" w:rsidR="0094589A" w:rsidRDefault="0094589A" w:rsidP="00ED2F6A">
      <w:pPr>
        <w:widowControl w:val="0"/>
        <w:autoSpaceDE w:val="0"/>
        <w:autoSpaceDN w:val="0"/>
        <w:adjustRightInd w:val="0"/>
        <w:rPr>
          <w:rFonts w:cs="Times"/>
        </w:rPr>
      </w:pPr>
    </w:p>
    <w:p w14:paraId="716272CC" w14:textId="551D8922" w:rsidR="0094589A" w:rsidRPr="0094589A" w:rsidRDefault="00DA32E5" w:rsidP="00ED2F6A">
      <w:pPr>
        <w:widowControl w:val="0"/>
        <w:autoSpaceDE w:val="0"/>
        <w:autoSpaceDN w:val="0"/>
        <w:adjustRightInd w:val="0"/>
        <w:rPr>
          <w:rFonts w:cs="Verdana"/>
        </w:rPr>
      </w:pPr>
      <w:r>
        <w:rPr>
          <w:rFonts w:cs="Verdana"/>
        </w:rPr>
        <w:t xml:space="preserve">Still at the laboratory stage, researchers at Cambridge, in an experiment, combined silicon (the basis of solar cells) and organic matter found in leaves (Pentacene) that can transfer photons to silicon to produce electricity.  Researchers </w:t>
      </w:r>
      <w:r w:rsidR="004B7304">
        <w:rPr>
          <w:rFonts w:cs="Verdana"/>
        </w:rPr>
        <w:t>said the hybrid solar cell was</w:t>
      </w:r>
      <w:r>
        <w:rPr>
          <w:rFonts w:cs="Verdana"/>
        </w:rPr>
        <w:t xml:space="preserve"> 95% efficient.  The team of researchers is currently working on a “low-cost organic coating” in preparation for pilots and demonstrations.</w:t>
      </w:r>
      <w:r>
        <w:rPr>
          <w:rStyle w:val="FootnoteReference"/>
          <w:rFonts w:cs="Verdana"/>
        </w:rPr>
        <w:footnoteReference w:id="15"/>
      </w:r>
    </w:p>
    <w:p w14:paraId="6B495024" w14:textId="7215550F" w:rsidR="0094589A" w:rsidRDefault="004B7304" w:rsidP="00ED2F6A">
      <w:pPr>
        <w:widowControl w:val="0"/>
        <w:autoSpaceDE w:val="0"/>
        <w:autoSpaceDN w:val="0"/>
        <w:adjustRightInd w:val="0"/>
        <w:rPr>
          <w:rFonts w:cs="Verdana"/>
          <w:color w:val="262626"/>
        </w:rPr>
      </w:pPr>
      <w:r>
        <w:rPr>
          <w:rFonts w:cs="Verdana"/>
          <w:color w:val="262626"/>
        </w:rPr>
        <w:t>North Carolina State University and Hong Kong University of Science and Technology are working with new polymers in polymer solar cells that achieved a record 11% efficiency for polymer solar cells in laboratory tests.  They believe that these can eventually be mass-produced cheaply.</w:t>
      </w:r>
      <w:r w:rsidR="00762DA3">
        <w:rPr>
          <w:rStyle w:val="FootnoteReference"/>
          <w:rFonts w:cs="Verdana"/>
          <w:color w:val="262626"/>
        </w:rPr>
        <w:footnoteReference w:id="16"/>
      </w:r>
    </w:p>
    <w:p w14:paraId="321C81C6" w14:textId="79546BBD" w:rsidR="004B7304" w:rsidRDefault="00AB6BB8" w:rsidP="00ED2F6A">
      <w:pPr>
        <w:widowControl w:val="0"/>
        <w:autoSpaceDE w:val="0"/>
        <w:autoSpaceDN w:val="0"/>
        <w:adjustRightInd w:val="0"/>
        <w:rPr>
          <w:rFonts w:cs="Verdana"/>
          <w:color w:val="262626"/>
        </w:rPr>
      </w:pPr>
      <w:r>
        <w:rPr>
          <w:rFonts w:cs="Verdana"/>
          <w:color w:val="262626"/>
        </w:rPr>
        <w:t>Researchers at Toronto University’s Applied Science and Engineering department have developed a new way to apply tiny solar cells to any surface.  They could be applied to cars, airplane wings, patio furniture, just about anything.  Covering the roof of a car could power 3 100-watt light bulbs.  Instead of cumbersome batch processing, the researchers developed a way to spray the solar cells with readily available equipment.  The hope is to work towards inexpensive mass-production.</w:t>
      </w:r>
      <w:r w:rsidR="00762DA3">
        <w:rPr>
          <w:rStyle w:val="FootnoteReference"/>
          <w:rFonts w:cs="Verdana"/>
          <w:color w:val="262626"/>
        </w:rPr>
        <w:footnoteReference w:id="17"/>
      </w:r>
    </w:p>
    <w:p w14:paraId="2243D535" w14:textId="77777777" w:rsidR="00762DA3" w:rsidRDefault="00762DA3" w:rsidP="00ED2F6A">
      <w:pPr>
        <w:widowControl w:val="0"/>
        <w:autoSpaceDE w:val="0"/>
        <w:autoSpaceDN w:val="0"/>
        <w:adjustRightInd w:val="0"/>
        <w:rPr>
          <w:rFonts w:cs="Verdana"/>
          <w:color w:val="262626"/>
        </w:rPr>
      </w:pPr>
    </w:p>
    <w:p w14:paraId="1F57055B" w14:textId="76880A3E" w:rsidR="00762DA3" w:rsidRDefault="00762DA3" w:rsidP="00ED2F6A">
      <w:pPr>
        <w:widowControl w:val="0"/>
        <w:autoSpaceDE w:val="0"/>
        <w:autoSpaceDN w:val="0"/>
        <w:adjustRightInd w:val="0"/>
        <w:rPr>
          <w:rFonts w:cs="Verdana"/>
          <w:b/>
          <w:i/>
          <w:color w:val="262626"/>
        </w:rPr>
      </w:pPr>
      <w:r w:rsidRPr="00762DA3">
        <w:rPr>
          <w:rFonts w:cs="Verdana"/>
          <w:b/>
          <w:i/>
          <w:color w:val="262626"/>
        </w:rPr>
        <w:t>Solar Roads</w:t>
      </w:r>
    </w:p>
    <w:p w14:paraId="42E9E507" w14:textId="4CC4A01D" w:rsidR="00E004E1" w:rsidRDefault="00E004E1" w:rsidP="00ED2F6A">
      <w:pPr>
        <w:widowControl w:val="0"/>
        <w:autoSpaceDE w:val="0"/>
        <w:autoSpaceDN w:val="0"/>
        <w:adjustRightInd w:val="0"/>
        <w:rPr>
          <w:rFonts w:cs="Verdana"/>
          <w:color w:val="262626"/>
        </w:rPr>
      </w:pPr>
      <w:r>
        <w:rPr>
          <w:rFonts w:cs="Verdana"/>
          <w:color w:val="262626"/>
        </w:rPr>
        <w:t>In November of 2014, the Dutch Organization for Scientific Research installed a 230-foot length of solar road on a bike trail in the province of North Holland as a demonstration project.  It is protected by two layers of safety glass and will power three</w:t>
      </w:r>
      <w:r w:rsidR="008A3EE7">
        <w:rPr>
          <w:rFonts w:cs="Verdana"/>
          <w:color w:val="262626"/>
        </w:rPr>
        <w:t xml:space="preserve"> </w:t>
      </w:r>
      <w:r>
        <w:rPr>
          <w:rFonts w:cs="Verdana"/>
          <w:color w:val="262626"/>
        </w:rPr>
        <w:t>average Dutch homes.</w:t>
      </w:r>
      <w:r>
        <w:rPr>
          <w:rStyle w:val="FootnoteReference"/>
          <w:rFonts w:cs="Verdana"/>
          <w:color w:val="262626"/>
        </w:rPr>
        <w:footnoteReference w:id="18"/>
      </w:r>
    </w:p>
    <w:p w14:paraId="6495CFCA" w14:textId="77777777" w:rsidR="00870833" w:rsidRDefault="00870833" w:rsidP="00ED2F6A">
      <w:pPr>
        <w:widowControl w:val="0"/>
        <w:autoSpaceDE w:val="0"/>
        <w:autoSpaceDN w:val="0"/>
        <w:adjustRightInd w:val="0"/>
        <w:rPr>
          <w:rFonts w:cs="Verdana"/>
          <w:color w:val="262626"/>
        </w:rPr>
      </w:pPr>
    </w:p>
    <w:p w14:paraId="13CB3793" w14:textId="399BBF1F" w:rsidR="008A3EE7" w:rsidRDefault="00AF1029" w:rsidP="008A3EE7">
      <w:pPr>
        <w:widowControl w:val="0"/>
        <w:autoSpaceDE w:val="0"/>
        <w:autoSpaceDN w:val="0"/>
        <w:adjustRightInd w:val="0"/>
        <w:rPr>
          <w:rFonts w:cs="Verdana"/>
          <w:color w:val="262626"/>
        </w:rPr>
      </w:pPr>
      <w:r>
        <w:rPr>
          <w:rFonts w:cs="Verdana"/>
          <w:color w:val="262626"/>
        </w:rPr>
        <w:t xml:space="preserve">Solar Roads is a US firm that has developed a solar road paving system.  Panels can be installed on any surface like parking lots, roads, bike paths, playgrounds, driveways.  </w:t>
      </w:r>
      <w:r w:rsidR="008A3EE7">
        <w:rPr>
          <w:rFonts w:cs="Verdana"/>
          <w:color w:val="262626"/>
        </w:rPr>
        <w:t xml:space="preserve">The panels are designed to carry the heaviest loads </w:t>
      </w:r>
      <w:r w:rsidR="000F78AA">
        <w:rPr>
          <w:rFonts w:cs="Verdana"/>
          <w:color w:val="262626"/>
        </w:rPr>
        <w:t xml:space="preserve">(e.g. </w:t>
      </w:r>
      <w:r w:rsidR="008A3EE7">
        <w:rPr>
          <w:rFonts w:cs="Verdana"/>
          <w:color w:val="262626"/>
        </w:rPr>
        <w:t>from semis</w:t>
      </w:r>
      <w:r w:rsidR="000F78AA">
        <w:rPr>
          <w:rFonts w:cs="Verdana"/>
          <w:color w:val="262626"/>
        </w:rPr>
        <w:t>)</w:t>
      </w:r>
      <w:r w:rsidR="008A3EE7">
        <w:rPr>
          <w:rFonts w:cs="Verdana"/>
          <w:color w:val="262626"/>
        </w:rPr>
        <w:t>. The firm has developed the system and is wrapping up a parking lot demonstration project.  It now is working to attract financing for production of the panels.  The panels contain heating elements to melt snow and ice and LEDs to illuminate lanes and can accommodate data cables.</w:t>
      </w:r>
      <w:r w:rsidR="0018154A">
        <w:rPr>
          <w:rStyle w:val="FootnoteReference"/>
          <w:rFonts w:cs="Verdana"/>
          <w:color w:val="262626"/>
        </w:rPr>
        <w:footnoteReference w:id="19"/>
      </w:r>
    </w:p>
    <w:p w14:paraId="14B3D488" w14:textId="77777777" w:rsidR="0018154A" w:rsidRDefault="0018154A" w:rsidP="008A3EE7">
      <w:pPr>
        <w:widowControl w:val="0"/>
        <w:autoSpaceDE w:val="0"/>
        <w:autoSpaceDN w:val="0"/>
        <w:adjustRightInd w:val="0"/>
        <w:rPr>
          <w:rFonts w:cs="Verdana"/>
          <w:color w:val="262626"/>
        </w:rPr>
      </w:pPr>
    </w:p>
    <w:p w14:paraId="51ED0F71" w14:textId="12CD2F32" w:rsidR="0018154A" w:rsidRPr="00AD74A8" w:rsidRDefault="007143CD" w:rsidP="008A3EE7">
      <w:pPr>
        <w:widowControl w:val="0"/>
        <w:autoSpaceDE w:val="0"/>
        <w:autoSpaceDN w:val="0"/>
        <w:adjustRightInd w:val="0"/>
        <w:rPr>
          <w:rFonts w:cs="Verdana"/>
          <w:b/>
          <w:i/>
          <w:color w:val="262626"/>
        </w:rPr>
      </w:pPr>
      <w:r w:rsidRPr="00AD74A8">
        <w:rPr>
          <w:rFonts w:cs="Verdana"/>
          <w:b/>
          <w:i/>
          <w:color w:val="262626"/>
        </w:rPr>
        <w:t>Solar Windows</w:t>
      </w:r>
    </w:p>
    <w:p w14:paraId="6A4922E9" w14:textId="37A88FC9" w:rsidR="007143CD" w:rsidRDefault="007143CD" w:rsidP="008A3EE7">
      <w:pPr>
        <w:widowControl w:val="0"/>
        <w:autoSpaceDE w:val="0"/>
        <w:autoSpaceDN w:val="0"/>
        <w:adjustRightInd w:val="0"/>
        <w:rPr>
          <w:rFonts w:cs="Verdana"/>
          <w:color w:val="262626"/>
        </w:rPr>
      </w:pPr>
      <w:r>
        <w:rPr>
          <w:rFonts w:cs="Verdana"/>
          <w:color w:val="262626"/>
        </w:rPr>
        <w:t xml:space="preserve">Over the last few years, New Energy Technologies has further developed its solar window.  The company has developed a system to spray on solar cells </w:t>
      </w:r>
      <w:r w:rsidR="00AD74A8">
        <w:rPr>
          <w:rFonts w:cs="Verdana"/>
          <w:color w:val="262626"/>
        </w:rPr>
        <w:t>to windows that remain transparent.  The problem in the past was the size of the window.  Recently, the company was able to produce a much larger version – over 2 square fee</w:t>
      </w:r>
      <w:r w:rsidR="000F78AA">
        <w:rPr>
          <w:rFonts w:cs="Verdana"/>
          <w:color w:val="262626"/>
        </w:rPr>
        <w:t>t</w:t>
      </w:r>
      <w:r w:rsidR="00AD74A8">
        <w:rPr>
          <w:rFonts w:cs="Verdana"/>
          <w:color w:val="262626"/>
        </w:rPr>
        <w:t>.  Since the cells can convert electricity from diffuse light, the windows can to mounted to any side of a building. Research</w:t>
      </w:r>
      <w:r w:rsidR="000F78AA">
        <w:rPr>
          <w:rFonts w:cs="Verdana"/>
          <w:color w:val="262626"/>
        </w:rPr>
        <w:t>ers at the company also note that</w:t>
      </w:r>
      <w:r w:rsidR="00AD74A8">
        <w:rPr>
          <w:rFonts w:cs="Verdana"/>
          <w:color w:val="262626"/>
        </w:rPr>
        <w:t xml:space="preserve"> their spray-on method lends itself to  mass-production, which would hold costs down.</w:t>
      </w:r>
      <w:r w:rsidR="00AD74A8">
        <w:rPr>
          <w:rStyle w:val="FootnoteReference"/>
          <w:rFonts w:cs="Verdana"/>
          <w:color w:val="262626"/>
        </w:rPr>
        <w:footnoteReference w:id="20"/>
      </w:r>
    </w:p>
    <w:p w14:paraId="25F5CE78" w14:textId="77777777" w:rsidR="0018154A" w:rsidRDefault="0018154A" w:rsidP="008A3EE7">
      <w:pPr>
        <w:widowControl w:val="0"/>
        <w:autoSpaceDE w:val="0"/>
        <w:autoSpaceDN w:val="0"/>
        <w:adjustRightInd w:val="0"/>
        <w:rPr>
          <w:rFonts w:cs="Verdana"/>
          <w:color w:val="262626"/>
        </w:rPr>
      </w:pPr>
    </w:p>
    <w:p w14:paraId="7F97E5D8" w14:textId="3CCEA18E" w:rsidR="0018154A" w:rsidRDefault="0018154A" w:rsidP="008A3EE7">
      <w:pPr>
        <w:widowControl w:val="0"/>
        <w:autoSpaceDE w:val="0"/>
        <w:autoSpaceDN w:val="0"/>
        <w:adjustRightInd w:val="0"/>
        <w:rPr>
          <w:rFonts w:cs="Verdana"/>
          <w:b/>
          <w:color w:val="262626"/>
        </w:rPr>
      </w:pPr>
      <w:r w:rsidRPr="0018154A">
        <w:rPr>
          <w:rFonts w:cs="Verdana"/>
          <w:b/>
          <w:color w:val="262626"/>
        </w:rPr>
        <w:t>Wind Power Market and Technologies</w:t>
      </w:r>
    </w:p>
    <w:p w14:paraId="5E18A52B" w14:textId="728541A1" w:rsidR="0018154A" w:rsidRDefault="0018154A" w:rsidP="008A3EE7">
      <w:pPr>
        <w:widowControl w:val="0"/>
        <w:autoSpaceDE w:val="0"/>
        <w:autoSpaceDN w:val="0"/>
        <w:adjustRightInd w:val="0"/>
        <w:rPr>
          <w:rFonts w:cs="Verdana"/>
          <w:b/>
          <w:i/>
          <w:color w:val="262626"/>
        </w:rPr>
      </w:pPr>
      <w:r w:rsidRPr="0018154A">
        <w:rPr>
          <w:rFonts w:cs="Verdana"/>
          <w:b/>
          <w:i/>
          <w:color w:val="262626"/>
        </w:rPr>
        <w:t>Market</w:t>
      </w:r>
    </w:p>
    <w:p w14:paraId="12B171BC" w14:textId="67282B30" w:rsidR="00AD74A8" w:rsidRDefault="00B86981" w:rsidP="008A3EE7">
      <w:pPr>
        <w:widowControl w:val="0"/>
        <w:autoSpaceDE w:val="0"/>
        <w:autoSpaceDN w:val="0"/>
        <w:adjustRightInd w:val="0"/>
        <w:rPr>
          <w:rFonts w:cs="Verdana"/>
          <w:color w:val="262626"/>
        </w:rPr>
      </w:pPr>
      <w:r>
        <w:rPr>
          <w:rFonts w:cs="Verdana"/>
          <w:color w:val="262626"/>
        </w:rPr>
        <w:t>Wind energy has grown 24 times since 2001.  Iowa receives 27% of its power from wind turbines.  Nine states receive at least 12% of their power from wind turbines (Colorado, North Dakota, South Dakota, Iowa, Minnesota, Oklahoma, Kansas, Idaho, and Oregon).</w:t>
      </w:r>
      <w:r w:rsidR="00F91BAE">
        <w:rPr>
          <w:rStyle w:val="FootnoteReference"/>
          <w:rFonts w:cs="Verdana"/>
          <w:color w:val="262626"/>
        </w:rPr>
        <w:footnoteReference w:id="21"/>
      </w:r>
      <w:r>
        <w:rPr>
          <w:rFonts w:cs="Verdana"/>
          <w:color w:val="262626"/>
        </w:rPr>
        <w:t xml:space="preserve">  </w:t>
      </w:r>
    </w:p>
    <w:p w14:paraId="70E6A4F8" w14:textId="77777777" w:rsidR="00B86981" w:rsidRDefault="00B86981" w:rsidP="008A3EE7">
      <w:pPr>
        <w:widowControl w:val="0"/>
        <w:autoSpaceDE w:val="0"/>
        <w:autoSpaceDN w:val="0"/>
        <w:adjustRightInd w:val="0"/>
        <w:rPr>
          <w:rFonts w:cs="Verdana"/>
          <w:color w:val="262626"/>
        </w:rPr>
      </w:pPr>
    </w:p>
    <w:p w14:paraId="349613EE" w14:textId="0BF32EA7" w:rsidR="00B86981" w:rsidRDefault="0044280E" w:rsidP="0044280E">
      <w:pPr>
        <w:widowControl w:val="0"/>
        <w:autoSpaceDE w:val="0"/>
        <w:autoSpaceDN w:val="0"/>
        <w:adjustRightInd w:val="0"/>
        <w:ind w:left="2160"/>
        <w:rPr>
          <w:rFonts w:cs="Verdana"/>
          <w:color w:val="262626"/>
        </w:rPr>
      </w:pPr>
      <w:r>
        <w:rPr>
          <w:rFonts w:ascii="Georgia" w:hAnsi="Georgia" w:cs="Georgia"/>
          <w:noProof/>
          <w:color w:val="0000FF"/>
          <w:sz w:val="36"/>
          <w:szCs w:val="36"/>
        </w:rPr>
        <w:drawing>
          <wp:inline distT="0" distB="0" distL="0" distR="0" wp14:anchorId="0B517B76" wp14:editId="0387D508">
            <wp:extent cx="3086100" cy="2488145"/>
            <wp:effectExtent l="0" t="0" r="0" b="1270"/>
            <wp:docPr id="18" name="Picture 1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7493" cy="2489268"/>
                    </a:xfrm>
                    <a:prstGeom prst="rect">
                      <a:avLst/>
                    </a:prstGeom>
                    <a:noFill/>
                    <a:ln>
                      <a:noFill/>
                    </a:ln>
                  </pic:spPr>
                </pic:pic>
              </a:graphicData>
            </a:graphic>
          </wp:inline>
        </w:drawing>
      </w:r>
    </w:p>
    <w:p w14:paraId="7713D934" w14:textId="098DFB58" w:rsidR="0044280E" w:rsidRPr="00F91BAE" w:rsidRDefault="00F91BAE" w:rsidP="0044280E">
      <w:pPr>
        <w:widowControl w:val="0"/>
        <w:autoSpaceDE w:val="0"/>
        <w:autoSpaceDN w:val="0"/>
        <w:adjustRightInd w:val="0"/>
        <w:rPr>
          <w:rFonts w:cs="Verdana"/>
          <w:color w:val="262626"/>
          <w:sz w:val="16"/>
          <w:szCs w:val="16"/>
        </w:rPr>
      </w:pPr>
      <w:r>
        <w:rPr>
          <w:rFonts w:cs="Verdana"/>
          <w:color w:val="262626"/>
        </w:rPr>
        <w:tab/>
      </w:r>
      <w:r>
        <w:rPr>
          <w:rFonts w:cs="Verdana"/>
          <w:color w:val="262626"/>
        </w:rPr>
        <w:tab/>
      </w:r>
      <w:r>
        <w:rPr>
          <w:rFonts w:cs="Verdana"/>
          <w:color w:val="262626"/>
        </w:rPr>
        <w:tab/>
      </w:r>
      <w:r w:rsidR="00185948">
        <w:rPr>
          <w:rFonts w:cs="Verdana"/>
          <w:color w:val="262626"/>
        </w:rPr>
        <w:t xml:space="preserve">      </w:t>
      </w:r>
      <w:r w:rsidRPr="00F91BAE">
        <w:rPr>
          <w:rFonts w:cs="Verdana"/>
          <w:color w:val="262626"/>
          <w:sz w:val="16"/>
          <w:szCs w:val="16"/>
        </w:rPr>
        <w:t>Source: Published in Truthdig</w:t>
      </w:r>
    </w:p>
    <w:p w14:paraId="702131D3" w14:textId="77777777" w:rsidR="00F91BAE" w:rsidRPr="00F91BAE" w:rsidRDefault="00F91BAE" w:rsidP="0044280E">
      <w:pPr>
        <w:widowControl w:val="0"/>
        <w:autoSpaceDE w:val="0"/>
        <w:autoSpaceDN w:val="0"/>
        <w:adjustRightInd w:val="0"/>
        <w:rPr>
          <w:rFonts w:cs="Verdana"/>
          <w:color w:val="262626"/>
          <w:sz w:val="18"/>
          <w:szCs w:val="18"/>
        </w:rPr>
      </w:pPr>
    </w:p>
    <w:p w14:paraId="7D33A39D" w14:textId="2F239881" w:rsidR="0018154A" w:rsidRDefault="00F91BAE" w:rsidP="00F91BAE">
      <w:pPr>
        <w:widowControl w:val="0"/>
        <w:autoSpaceDE w:val="0"/>
        <w:autoSpaceDN w:val="0"/>
        <w:adjustRightInd w:val="0"/>
        <w:rPr>
          <w:rFonts w:cs="Verdana"/>
          <w:color w:val="262626"/>
        </w:rPr>
      </w:pPr>
      <w:r>
        <w:rPr>
          <w:rFonts w:cs="Verdana"/>
          <w:color w:val="262626"/>
        </w:rPr>
        <w:t xml:space="preserve">The US has over 62,000 megawatts of wind turbines installed and operating.  Due to the late extension of the production </w:t>
      </w:r>
      <w:r w:rsidR="000F78AA">
        <w:rPr>
          <w:rFonts w:cs="Verdana"/>
          <w:color w:val="262626"/>
        </w:rPr>
        <w:t>tax credit in 2013, only somewhat</w:t>
      </w:r>
      <w:r>
        <w:rPr>
          <w:rFonts w:cs="Verdana"/>
          <w:color w:val="262626"/>
        </w:rPr>
        <w:t xml:space="preserve"> over 1,200 megawatts came on line in the first 3 quarters of 2014.  However, 13,600 megawatts are currently under construction.  It is unclear how construction will unfold past 2015.  </w:t>
      </w:r>
    </w:p>
    <w:p w14:paraId="034E85FC" w14:textId="77777777" w:rsidR="00F91BAE" w:rsidRDefault="00F91BAE" w:rsidP="00F91BAE">
      <w:pPr>
        <w:widowControl w:val="0"/>
        <w:autoSpaceDE w:val="0"/>
        <w:autoSpaceDN w:val="0"/>
        <w:adjustRightInd w:val="0"/>
        <w:rPr>
          <w:rFonts w:cs="Verdana"/>
          <w:color w:val="262626"/>
        </w:rPr>
      </w:pPr>
    </w:p>
    <w:p w14:paraId="7676B690" w14:textId="43469DFD" w:rsidR="00F91BAE" w:rsidRDefault="00F91BAE" w:rsidP="00F91BAE">
      <w:pPr>
        <w:widowControl w:val="0"/>
        <w:autoSpaceDE w:val="0"/>
        <w:autoSpaceDN w:val="0"/>
        <w:adjustRightInd w:val="0"/>
        <w:rPr>
          <w:rFonts w:cs="Verdana"/>
          <w:color w:val="262626"/>
        </w:rPr>
      </w:pPr>
      <w:r>
        <w:rPr>
          <w:rFonts w:cs="Verdana"/>
          <w:color w:val="262626"/>
        </w:rPr>
        <w:t xml:space="preserve">AWEA reports that 14 offshore projects are in advanced stages of development.  However, no offshore wind turbines have been installed off US shores. (Recently, Cape Wind lost its power contracts.)  </w:t>
      </w:r>
    </w:p>
    <w:p w14:paraId="4DBCD39B" w14:textId="77777777" w:rsidR="00F91BAE" w:rsidRDefault="00F91BAE" w:rsidP="00F91BAE">
      <w:pPr>
        <w:widowControl w:val="0"/>
        <w:autoSpaceDE w:val="0"/>
        <w:autoSpaceDN w:val="0"/>
        <w:adjustRightInd w:val="0"/>
        <w:rPr>
          <w:rFonts w:cs="Verdana"/>
          <w:color w:val="262626"/>
        </w:rPr>
      </w:pPr>
    </w:p>
    <w:p w14:paraId="600ED31F" w14:textId="33C64918" w:rsidR="00F91BAE" w:rsidRDefault="00F91BAE" w:rsidP="00F91BAE">
      <w:pPr>
        <w:widowControl w:val="0"/>
        <w:autoSpaceDE w:val="0"/>
        <w:autoSpaceDN w:val="0"/>
        <w:adjustRightInd w:val="0"/>
        <w:ind w:left="1440"/>
        <w:rPr>
          <w:rFonts w:cs="Verdana"/>
          <w:color w:val="262626"/>
        </w:rPr>
      </w:pPr>
      <w:r>
        <w:rPr>
          <w:rFonts w:ascii="Times" w:hAnsi="Times" w:cs="Times"/>
          <w:noProof/>
          <w:color w:val="505050"/>
          <w:sz w:val="28"/>
          <w:szCs w:val="28"/>
        </w:rPr>
        <w:drawing>
          <wp:inline distT="0" distB="0" distL="0" distR="0" wp14:anchorId="58EEE8B9" wp14:editId="374C444B">
            <wp:extent cx="3200400" cy="25967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2621" cy="2598507"/>
                    </a:xfrm>
                    <a:prstGeom prst="rect">
                      <a:avLst/>
                    </a:prstGeom>
                    <a:noFill/>
                    <a:ln>
                      <a:noFill/>
                    </a:ln>
                  </pic:spPr>
                </pic:pic>
              </a:graphicData>
            </a:graphic>
          </wp:inline>
        </w:drawing>
      </w:r>
    </w:p>
    <w:p w14:paraId="03E4C612" w14:textId="7A8F4553" w:rsidR="00F91BAE" w:rsidRDefault="00F91BAE" w:rsidP="00F91BAE">
      <w:pPr>
        <w:widowControl w:val="0"/>
        <w:autoSpaceDE w:val="0"/>
        <w:autoSpaceDN w:val="0"/>
        <w:adjustRightInd w:val="0"/>
        <w:ind w:left="720" w:firstLine="720"/>
        <w:rPr>
          <w:rFonts w:cs="Verdana"/>
          <w:color w:val="262626"/>
          <w:sz w:val="16"/>
          <w:szCs w:val="16"/>
        </w:rPr>
      </w:pPr>
      <w:r w:rsidRPr="00F91BAE">
        <w:rPr>
          <w:rFonts w:cs="Verdana"/>
          <w:color w:val="262626"/>
          <w:sz w:val="16"/>
          <w:szCs w:val="16"/>
        </w:rPr>
        <w:t>Source: AWEA</w:t>
      </w:r>
    </w:p>
    <w:p w14:paraId="060D716D" w14:textId="77777777" w:rsidR="00F91BAE" w:rsidRDefault="00F91BAE" w:rsidP="00F91BAE">
      <w:pPr>
        <w:widowControl w:val="0"/>
        <w:autoSpaceDE w:val="0"/>
        <w:autoSpaceDN w:val="0"/>
        <w:adjustRightInd w:val="0"/>
        <w:rPr>
          <w:rFonts w:cs="Verdana"/>
          <w:color w:val="262626"/>
          <w:sz w:val="16"/>
          <w:szCs w:val="16"/>
        </w:rPr>
      </w:pPr>
    </w:p>
    <w:p w14:paraId="3F880D1A" w14:textId="616B6E9E" w:rsidR="00F91BAE" w:rsidRDefault="00F91BAE" w:rsidP="00F91BAE">
      <w:pPr>
        <w:widowControl w:val="0"/>
        <w:autoSpaceDE w:val="0"/>
        <w:autoSpaceDN w:val="0"/>
        <w:adjustRightInd w:val="0"/>
        <w:rPr>
          <w:rFonts w:cs="Verdana"/>
          <w:color w:val="262626"/>
        </w:rPr>
      </w:pPr>
      <w:r>
        <w:rPr>
          <w:rFonts w:cs="Verdana"/>
          <w:color w:val="262626"/>
        </w:rPr>
        <w:t xml:space="preserve">Prior to Cape Wind contract cancellations, AWEA predicted 3,700 megawatts of installed offshore wind turbines by 2021. </w:t>
      </w:r>
    </w:p>
    <w:p w14:paraId="717F8ADF" w14:textId="77777777" w:rsidR="00F91BAE" w:rsidRDefault="00F91BAE" w:rsidP="00F91BAE">
      <w:pPr>
        <w:widowControl w:val="0"/>
        <w:autoSpaceDE w:val="0"/>
        <w:autoSpaceDN w:val="0"/>
        <w:adjustRightInd w:val="0"/>
        <w:rPr>
          <w:rFonts w:cs="Verdana"/>
          <w:color w:val="262626"/>
        </w:rPr>
      </w:pPr>
    </w:p>
    <w:p w14:paraId="44FF874B" w14:textId="039E4810" w:rsidR="00F91BAE" w:rsidRDefault="00F91BAE" w:rsidP="00F91BAE">
      <w:pPr>
        <w:widowControl w:val="0"/>
        <w:autoSpaceDE w:val="0"/>
        <w:autoSpaceDN w:val="0"/>
        <w:adjustRightInd w:val="0"/>
        <w:rPr>
          <w:rFonts w:cs="Verdana"/>
          <w:color w:val="262626"/>
        </w:rPr>
      </w:pPr>
      <w:r>
        <w:rPr>
          <w:rFonts w:cs="Verdana"/>
          <w:color w:val="262626"/>
        </w:rPr>
        <w:t xml:space="preserve">Currently, there are 7 gigawatts of </w:t>
      </w:r>
      <w:r w:rsidR="000F78AA">
        <w:rPr>
          <w:rFonts w:cs="Verdana"/>
          <w:color w:val="262626"/>
        </w:rPr>
        <w:t xml:space="preserve"> global </w:t>
      </w:r>
      <w:r>
        <w:rPr>
          <w:rFonts w:cs="Verdana"/>
          <w:color w:val="262626"/>
        </w:rPr>
        <w:t>installed offshore wind.  The typical size of a turbine is 4 megawatts, but estimates are that turbine size will reach 5 and larger by 2018. Most of the construction is in Northwestern Europe and China.  But the United Kingdom installed over 800 megawatts in 2013.  29 projects amounting to 6,600 megawatts are under construction globally now, with China constructing 1,000 megawatts.</w:t>
      </w:r>
      <w:r w:rsidR="004A5BCB">
        <w:rPr>
          <w:rStyle w:val="FootnoteReference"/>
          <w:rFonts w:cs="Verdana"/>
          <w:color w:val="262626"/>
        </w:rPr>
        <w:footnoteReference w:id="22"/>
      </w:r>
      <w:r>
        <w:rPr>
          <w:rFonts w:cs="Verdana"/>
          <w:color w:val="262626"/>
        </w:rPr>
        <w:t xml:space="preserve"> </w:t>
      </w:r>
    </w:p>
    <w:p w14:paraId="34444280" w14:textId="77777777" w:rsidR="0033315A" w:rsidRDefault="0033315A" w:rsidP="00F91BAE">
      <w:pPr>
        <w:widowControl w:val="0"/>
        <w:autoSpaceDE w:val="0"/>
        <w:autoSpaceDN w:val="0"/>
        <w:adjustRightInd w:val="0"/>
        <w:rPr>
          <w:rFonts w:cs="Verdana"/>
          <w:color w:val="262626"/>
        </w:rPr>
      </w:pPr>
    </w:p>
    <w:p w14:paraId="71468288" w14:textId="28E0AAFF" w:rsidR="007170BE" w:rsidRDefault="000A6287" w:rsidP="00F91BAE">
      <w:pPr>
        <w:widowControl w:val="0"/>
        <w:autoSpaceDE w:val="0"/>
        <w:autoSpaceDN w:val="0"/>
        <w:adjustRightInd w:val="0"/>
        <w:rPr>
          <w:rFonts w:cs="Verdana"/>
          <w:color w:val="262626"/>
        </w:rPr>
      </w:pPr>
      <w:r>
        <w:rPr>
          <w:rFonts w:cs="Verdana"/>
          <w:color w:val="262626"/>
        </w:rPr>
        <w:t>US offshore wind potential is substantial.  Potentially two to four times the amount of all installed US power plant capacity.</w:t>
      </w:r>
      <w:r>
        <w:rPr>
          <w:rStyle w:val="FootnoteReference"/>
          <w:rFonts w:cs="Verdana"/>
          <w:color w:val="262626"/>
        </w:rPr>
        <w:footnoteReference w:id="23"/>
      </w:r>
      <w:r>
        <w:rPr>
          <w:rFonts w:cs="Verdana"/>
          <w:color w:val="262626"/>
        </w:rPr>
        <w:t xml:space="preserve">  </w:t>
      </w:r>
    </w:p>
    <w:p w14:paraId="2416A8D7" w14:textId="77777777" w:rsidR="000A6287" w:rsidRDefault="000A6287" w:rsidP="00F91BAE">
      <w:pPr>
        <w:widowControl w:val="0"/>
        <w:autoSpaceDE w:val="0"/>
        <w:autoSpaceDN w:val="0"/>
        <w:adjustRightInd w:val="0"/>
        <w:rPr>
          <w:rFonts w:cs="Verdana"/>
          <w:color w:val="262626"/>
        </w:rPr>
      </w:pPr>
    </w:p>
    <w:p w14:paraId="14580784" w14:textId="06762218" w:rsidR="000A6287" w:rsidRDefault="000A6287" w:rsidP="000A6287">
      <w:pPr>
        <w:widowControl w:val="0"/>
        <w:autoSpaceDE w:val="0"/>
        <w:autoSpaceDN w:val="0"/>
        <w:adjustRightInd w:val="0"/>
        <w:ind w:left="2160"/>
        <w:rPr>
          <w:rFonts w:cs="Verdana"/>
          <w:color w:val="262626"/>
        </w:rPr>
      </w:pPr>
      <w:r>
        <w:rPr>
          <w:rFonts w:ascii="Helvetica" w:hAnsi="Helvetica" w:cs="Helvetica"/>
          <w:noProof/>
        </w:rPr>
        <w:drawing>
          <wp:inline distT="0" distB="0" distL="0" distR="0" wp14:anchorId="780CD4C7" wp14:editId="6691C24F">
            <wp:extent cx="2971800" cy="1833139"/>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2169" cy="1833367"/>
                    </a:xfrm>
                    <a:prstGeom prst="rect">
                      <a:avLst/>
                    </a:prstGeom>
                    <a:noFill/>
                    <a:ln>
                      <a:noFill/>
                    </a:ln>
                  </pic:spPr>
                </pic:pic>
              </a:graphicData>
            </a:graphic>
          </wp:inline>
        </w:drawing>
      </w:r>
    </w:p>
    <w:p w14:paraId="00D8424B" w14:textId="131CF492" w:rsidR="000A6287" w:rsidRPr="000A6287" w:rsidRDefault="000A6287" w:rsidP="000A6287">
      <w:pPr>
        <w:widowControl w:val="0"/>
        <w:autoSpaceDE w:val="0"/>
        <w:autoSpaceDN w:val="0"/>
        <w:adjustRightInd w:val="0"/>
        <w:ind w:left="2160"/>
        <w:rPr>
          <w:rFonts w:cs="Verdana"/>
          <w:color w:val="262626"/>
          <w:sz w:val="16"/>
          <w:szCs w:val="16"/>
        </w:rPr>
      </w:pPr>
      <w:r w:rsidRPr="000A6287">
        <w:rPr>
          <w:rFonts w:cs="Arial"/>
          <w:bCs/>
          <w:color w:val="262626"/>
          <w:sz w:val="16"/>
          <w:szCs w:val="16"/>
        </w:rPr>
        <w:t>United States offshore wind resource by region and depth  (Credit: NREL)</w:t>
      </w:r>
    </w:p>
    <w:p w14:paraId="65638879" w14:textId="77777777" w:rsidR="00F91BAE" w:rsidRDefault="00F91BAE" w:rsidP="00F91BAE">
      <w:pPr>
        <w:widowControl w:val="0"/>
        <w:autoSpaceDE w:val="0"/>
        <w:autoSpaceDN w:val="0"/>
        <w:adjustRightInd w:val="0"/>
        <w:rPr>
          <w:rFonts w:cs="Verdana"/>
          <w:color w:val="262626"/>
          <w:sz w:val="16"/>
          <w:szCs w:val="16"/>
        </w:rPr>
      </w:pPr>
    </w:p>
    <w:p w14:paraId="36776598" w14:textId="5E448FB8" w:rsidR="00F91BAE" w:rsidRDefault="00955755" w:rsidP="00F91BAE">
      <w:pPr>
        <w:widowControl w:val="0"/>
        <w:autoSpaceDE w:val="0"/>
        <w:autoSpaceDN w:val="0"/>
        <w:adjustRightInd w:val="0"/>
        <w:rPr>
          <w:rFonts w:cs="Verdana"/>
          <w:color w:val="262626"/>
        </w:rPr>
      </w:pPr>
      <w:r>
        <w:rPr>
          <w:rFonts w:cs="Verdana"/>
          <w:color w:val="262626"/>
        </w:rPr>
        <w:t>The EU accounts for 111 gigawatts of onshore installed wind capacity, providing 8% of all of the EU’s power by the end of 2013.</w:t>
      </w:r>
      <w:r w:rsidR="004A5BCB">
        <w:rPr>
          <w:rStyle w:val="FootnoteReference"/>
          <w:rFonts w:cs="Verdana"/>
          <w:color w:val="262626"/>
        </w:rPr>
        <w:footnoteReference w:id="24"/>
      </w:r>
      <w:r>
        <w:rPr>
          <w:rFonts w:cs="Verdana"/>
          <w:color w:val="262626"/>
        </w:rPr>
        <w:t xml:space="preserve">  Analysts predict global wind turbine capacity to reach 600 gigawatts by the end of 2018, double wha</w:t>
      </w:r>
      <w:r w:rsidR="004A5BCB">
        <w:rPr>
          <w:rFonts w:cs="Verdana"/>
          <w:color w:val="262626"/>
        </w:rPr>
        <w:t>t it was in mid-2014</w:t>
      </w:r>
      <w:r>
        <w:rPr>
          <w:rFonts w:cs="Verdana"/>
          <w:color w:val="262626"/>
        </w:rPr>
        <w:t>.</w:t>
      </w:r>
      <w:r w:rsidR="00BA065D">
        <w:rPr>
          <w:rStyle w:val="FootnoteReference"/>
          <w:rFonts w:cs="Verdana"/>
          <w:color w:val="262626"/>
        </w:rPr>
        <w:footnoteReference w:id="25"/>
      </w:r>
    </w:p>
    <w:p w14:paraId="3E18752E" w14:textId="77777777" w:rsidR="007275E2" w:rsidRDefault="007275E2" w:rsidP="00F91BAE">
      <w:pPr>
        <w:widowControl w:val="0"/>
        <w:autoSpaceDE w:val="0"/>
        <w:autoSpaceDN w:val="0"/>
        <w:adjustRightInd w:val="0"/>
        <w:rPr>
          <w:rFonts w:cs="Verdana"/>
          <w:color w:val="262626"/>
        </w:rPr>
      </w:pPr>
    </w:p>
    <w:p w14:paraId="4B543642" w14:textId="2E24062B" w:rsidR="007275E2" w:rsidRDefault="007275E2" w:rsidP="00F91BAE">
      <w:pPr>
        <w:widowControl w:val="0"/>
        <w:autoSpaceDE w:val="0"/>
        <w:autoSpaceDN w:val="0"/>
        <w:adjustRightInd w:val="0"/>
        <w:rPr>
          <w:rFonts w:cs="Verdana"/>
          <w:color w:val="262626"/>
        </w:rPr>
      </w:pPr>
      <w:r>
        <w:rPr>
          <w:rFonts w:cs="Verdana"/>
          <w:color w:val="262626"/>
        </w:rPr>
        <w:t>In terms of market segments, the scale of investment is quite large. As an example, MarketandMarket estimates the wind turbine rotor blade market to be worth nearly $17 billion by 2019.</w:t>
      </w:r>
      <w:r>
        <w:rPr>
          <w:rStyle w:val="FootnoteReference"/>
          <w:rFonts w:cs="Verdana"/>
          <w:color w:val="262626"/>
        </w:rPr>
        <w:footnoteReference w:id="26"/>
      </w:r>
    </w:p>
    <w:p w14:paraId="36B78C1B" w14:textId="77777777" w:rsidR="00676B39" w:rsidRDefault="00676B39" w:rsidP="00F91BAE">
      <w:pPr>
        <w:widowControl w:val="0"/>
        <w:autoSpaceDE w:val="0"/>
        <w:autoSpaceDN w:val="0"/>
        <w:adjustRightInd w:val="0"/>
        <w:rPr>
          <w:rFonts w:cs="Verdana"/>
          <w:color w:val="262626"/>
        </w:rPr>
      </w:pPr>
    </w:p>
    <w:p w14:paraId="1C9A070E" w14:textId="1A639CF0" w:rsidR="00676B39" w:rsidRDefault="000C06E4" w:rsidP="00F91BAE">
      <w:pPr>
        <w:widowControl w:val="0"/>
        <w:autoSpaceDE w:val="0"/>
        <w:autoSpaceDN w:val="0"/>
        <w:adjustRightInd w:val="0"/>
        <w:rPr>
          <w:rFonts w:cs="Verdana"/>
          <w:b/>
          <w:i/>
          <w:color w:val="262626"/>
        </w:rPr>
      </w:pPr>
      <w:r w:rsidRPr="000F4D88">
        <w:rPr>
          <w:rFonts w:cs="Verdana"/>
          <w:b/>
          <w:i/>
          <w:color w:val="262626"/>
        </w:rPr>
        <w:t>Advances in Technology</w:t>
      </w:r>
    </w:p>
    <w:p w14:paraId="28CE5989" w14:textId="6A3F2DF4" w:rsidR="009638B2" w:rsidRDefault="00714CD1" w:rsidP="00F91BAE">
      <w:pPr>
        <w:widowControl w:val="0"/>
        <w:autoSpaceDE w:val="0"/>
        <w:autoSpaceDN w:val="0"/>
        <w:adjustRightInd w:val="0"/>
        <w:rPr>
          <w:rFonts w:cs="Verdana"/>
          <w:color w:val="262626"/>
        </w:rPr>
      </w:pPr>
      <w:r>
        <w:rPr>
          <w:rFonts w:cs="Verdana"/>
          <w:color w:val="262626"/>
        </w:rPr>
        <w:t xml:space="preserve">Over the last 10 years, wind turbine capacity factors have increased from an average of 25% to over 50%.  </w:t>
      </w:r>
      <w:r w:rsidR="00AC40A1">
        <w:rPr>
          <w:rFonts w:cs="Verdana"/>
          <w:color w:val="262626"/>
        </w:rPr>
        <w:t>Blades extended further</w:t>
      </w:r>
      <w:r w:rsidR="009638B2">
        <w:rPr>
          <w:rFonts w:cs="Verdana"/>
          <w:color w:val="262626"/>
        </w:rPr>
        <w:t xml:space="preserve"> (with the rotor assembly now over 100 meters </w:t>
      </w:r>
      <w:r w:rsidR="00E50BA3">
        <w:rPr>
          <w:rFonts w:cs="Verdana"/>
          <w:color w:val="262626"/>
        </w:rPr>
        <w:t xml:space="preserve">(over 300 feet) </w:t>
      </w:r>
      <w:r w:rsidR="009638B2">
        <w:rPr>
          <w:rFonts w:cs="Verdana"/>
          <w:color w:val="262626"/>
        </w:rPr>
        <w:t>in diameter for new models),</w:t>
      </w:r>
      <w:r w:rsidR="00AC40A1">
        <w:rPr>
          <w:rFonts w:cs="Verdana"/>
          <w:color w:val="262626"/>
        </w:rPr>
        <w:t xml:space="preserve"> hub heights increased</w:t>
      </w:r>
      <w:r w:rsidR="000F78AA">
        <w:rPr>
          <w:rFonts w:cs="Verdana"/>
          <w:color w:val="262626"/>
        </w:rPr>
        <w:t>,</w:t>
      </w:r>
      <w:r w:rsidR="00AC40A1">
        <w:rPr>
          <w:rFonts w:cs="Verdana"/>
          <w:color w:val="262626"/>
        </w:rPr>
        <w:t xml:space="preserve"> improvements were made with electronics and controls</w:t>
      </w:r>
      <w:r w:rsidR="009638B2">
        <w:rPr>
          <w:rFonts w:cs="Verdana"/>
          <w:color w:val="262626"/>
        </w:rPr>
        <w:t xml:space="preserve"> (to handle wind gusts)</w:t>
      </w:r>
      <w:r w:rsidR="00AC40A1">
        <w:rPr>
          <w:rFonts w:cs="Verdana"/>
          <w:color w:val="262626"/>
        </w:rPr>
        <w:t xml:space="preserve">, and wind forecasts honed. </w:t>
      </w:r>
      <w:r w:rsidR="009638B2">
        <w:rPr>
          <w:rFonts w:cs="Verdana"/>
          <w:color w:val="262626"/>
        </w:rPr>
        <w:t xml:space="preserve"> GE has increased the availability of its wind turbines from 80 to 85% ten years ago to 98% now.</w:t>
      </w:r>
      <w:r w:rsidR="00815178">
        <w:rPr>
          <w:rStyle w:val="FootnoteReference"/>
          <w:rFonts w:cs="Verdana"/>
          <w:color w:val="262626"/>
        </w:rPr>
        <w:footnoteReference w:id="27"/>
      </w:r>
      <w:r w:rsidR="009638B2">
        <w:rPr>
          <w:rFonts w:cs="Verdana"/>
          <w:color w:val="262626"/>
        </w:rPr>
        <w:t xml:space="preserve"> </w:t>
      </w:r>
    </w:p>
    <w:p w14:paraId="6BA147BD" w14:textId="77777777" w:rsidR="009638B2" w:rsidRDefault="009638B2" w:rsidP="00F91BAE">
      <w:pPr>
        <w:widowControl w:val="0"/>
        <w:autoSpaceDE w:val="0"/>
        <w:autoSpaceDN w:val="0"/>
        <w:adjustRightInd w:val="0"/>
        <w:rPr>
          <w:rFonts w:cs="Verdana"/>
          <w:color w:val="262626"/>
        </w:rPr>
      </w:pPr>
    </w:p>
    <w:p w14:paraId="254A2043" w14:textId="382E45BA" w:rsidR="009638B2" w:rsidRDefault="009638B2" w:rsidP="00F91BAE">
      <w:pPr>
        <w:widowControl w:val="0"/>
        <w:autoSpaceDE w:val="0"/>
        <w:autoSpaceDN w:val="0"/>
        <w:adjustRightInd w:val="0"/>
        <w:rPr>
          <w:rFonts w:cs="Verdana"/>
          <w:color w:val="262626"/>
        </w:rPr>
      </w:pPr>
      <w:r>
        <w:rPr>
          <w:rFonts w:cs="Verdana"/>
          <w:color w:val="262626"/>
        </w:rPr>
        <w:t>With older wind turbines, upgrades are needed.  GE recently discussed its “blade extension” technique at a wind conference in Las Vegas.  Its 1.5 megawatt turbines had a rotor diameter of 77 meters.  GE cuts the blades in half and inserts an extension making the diam</w:t>
      </w:r>
      <w:r w:rsidR="00E50BA3">
        <w:rPr>
          <w:rFonts w:cs="Verdana"/>
          <w:color w:val="262626"/>
        </w:rPr>
        <w:t>eter 91 meters thereby increasing its annual output, the company claims, by 20%.  GE also is testing a new model with a hub height of 139 meters.  The company says that the hub height is not limited to 140 meters (nearly 460 feet).</w:t>
      </w:r>
      <w:r w:rsidR="00815178">
        <w:rPr>
          <w:rStyle w:val="FootnoteReference"/>
          <w:rFonts w:cs="Verdana"/>
          <w:color w:val="262626"/>
        </w:rPr>
        <w:footnoteReference w:id="28"/>
      </w:r>
      <w:r w:rsidR="00E50BA3">
        <w:rPr>
          <w:rFonts w:cs="Verdana"/>
          <w:color w:val="262626"/>
        </w:rPr>
        <w:t xml:space="preserve"> </w:t>
      </w:r>
    </w:p>
    <w:p w14:paraId="4C7C2C35" w14:textId="77777777" w:rsidR="00E50BA3" w:rsidRDefault="00E50BA3" w:rsidP="00F91BAE">
      <w:pPr>
        <w:widowControl w:val="0"/>
        <w:autoSpaceDE w:val="0"/>
        <w:autoSpaceDN w:val="0"/>
        <w:adjustRightInd w:val="0"/>
        <w:rPr>
          <w:rFonts w:cs="Verdana"/>
          <w:color w:val="262626"/>
        </w:rPr>
      </w:pPr>
    </w:p>
    <w:p w14:paraId="52B8DB3F" w14:textId="4B64B303" w:rsidR="00E50BA3" w:rsidRDefault="00E50BA3" w:rsidP="00F91BAE">
      <w:pPr>
        <w:widowControl w:val="0"/>
        <w:autoSpaceDE w:val="0"/>
        <w:autoSpaceDN w:val="0"/>
        <w:adjustRightInd w:val="0"/>
        <w:rPr>
          <w:rFonts w:cs="Verdana"/>
          <w:color w:val="262626"/>
        </w:rPr>
      </w:pPr>
      <w:r>
        <w:rPr>
          <w:rFonts w:cs="Verdana"/>
          <w:color w:val="262626"/>
        </w:rPr>
        <w:t>Vestas is testing its new 8-megawatt offshore wind turbine.  In a 24-hour period it set a record for turbine output, enough to power over 13,000 homes.</w:t>
      </w:r>
      <w:r w:rsidR="00FB2381">
        <w:rPr>
          <w:rStyle w:val="FootnoteReference"/>
          <w:rFonts w:cs="Verdana"/>
          <w:color w:val="262626"/>
        </w:rPr>
        <w:footnoteReference w:id="29"/>
      </w:r>
      <w:r>
        <w:rPr>
          <w:rFonts w:cs="Verdana"/>
          <w:color w:val="262626"/>
        </w:rPr>
        <w:t xml:space="preserve"> </w:t>
      </w:r>
    </w:p>
    <w:p w14:paraId="3206942A" w14:textId="77777777" w:rsidR="00E50BA3" w:rsidRDefault="00E50BA3" w:rsidP="00F91BAE">
      <w:pPr>
        <w:widowControl w:val="0"/>
        <w:autoSpaceDE w:val="0"/>
        <w:autoSpaceDN w:val="0"/>
        <w:adjustRightInd w:val="0"/>
        <w:rPr>
          <w:rFonts w:cs="Verdana"/>
          <w:color w:val="262626"/>
        </w:rPr>
      </w:pPr>
    </w:p>
    <w:p w14:paraId="1727151F" w14:textId="0CCF500C" w:rsidR="00BB7FD0" w:rsidRDefault="00BB7FD0" w:rsidP="00F91BAE">
      <w:pPr>
        <w:widowControl w:val="0"/>
        <w:autoSpaceDE w:val="0"/>
        <w:autoSpaceDN w:val="0"/>
        <w:adjustRightInd w:val="0"/>
        <w:rPr>
          <w:rFonts w:cs="Verdana"/>
          <w:color w:val="262626"/>
        </w:rPr>
      </w:pPr>
      <w:r>
        <w:rPr>
          <w:rFonts w:cs="Verdana"/>
          <w:color w:val="262626"/>
        </w:rPr>
        <w:t>GE is commissioning its Boco Rock wind farm in Australia, which features its Brilliant Wind Turbine (the turbines communicate with one another to maximize output and are tied to batteries to flatten output during startups and stops).   The wind farm should be fully operational in January of 2015.</w:t>
      </w:r>
      <w:r w:rsidR="00FB2381">
        <w:rPr>
          <w:rStyle w:val="FootnoteReference"/>
          <w:rFonts w:cs="Verdana"/>
          <w:color w:val="262626"/>
        </w:rPr>
        <w:footnoteReference w:id="30"/>
      </w:r>
      <w:r>
        <w:rPr>
          <w:rFonts w:cs="Verdana"/>
          <w:color w:val="262626"/>
        </w:rPr>
        <w:t xml:space="preserve"> </w:t>
      </w:r>
    </w:p>
    <w:p w14:paraId="51621144" w14:textId="77777777" w:rsidR="00BB7FD0" w:rsidRDefault="00BB7FD0" w:rsidP="00F91BAE">
      <w:pPr>
        <w:widowControl w:val="0"/>
        <w:autoSpaceDE w:val="0"/>
        <w:autoSpaceDN w:val="0"/>
        <w:adjustRightInd w:val="0"/>
        <w:rPr>
          <w:rFonts w:cs="Verdana"/>
          <w:color w:val="262626"/>
        </w:rPr>
      </w:pPr>
    </w:p>
    <w:p w14:paraId="48748EFA" w14:textId="07ACFC3E" w:rsidR="00815178" w:rsidRDefault="00BB7FD0" w:rsidP="00815178">
      <w:pPr>
        <w:widowControl w:val="0"/>
        <w:autoSpaceDE w:val="0"/>
        <w:autoSpaceDN w:val="0"/>
        <w:adjustRightInd w:val="0"/>
        <w:rPr>
          <w:rFonts w:cs="Verdana"/>
          <w:color w:val="262626"/>
        </w:rPr>
      </w:pPr>
      <w:r>
        <w:rPr>
          <w:rFonts w:cs="Verdana"/>
          <w:color w:val="262626"/>
        </w:rPr>
        <w:t xml:space="preserve">The Torque Wind Turbine is a recent </w:t>
      </w:r>
      <w:r w:rsidR="0033315A">
        <w:rPr>
          <w:rFonts w:cs="Verdana"/>
          <w:color w:val="262626"/>
        </w:rPr>
        <w:t>innovation in small wind turbines.  It will operate at 10 to 40 meters (up to 130 feet) and is designed to generate maximum output (anywhere from 3 to 100 kilowatts of power) in low wind speeds.  In terms o</w:t>
      </w:r>
      <w:r w:rsidR="00815178">
        <w:rPr>
          <w:rFonts w:cs="Verdana"/>
          <w:color w:val="262626"/>
        </w:rPr>
        <w:t>f maintenance, there is no gear</w:t>
      </w:r>
      <w:r w:rsidR="0033315A">
        <w:rPr>
          <w:rFonts w:cs="Verdana"/>
          <w:color w:val="262626"/>
        </w:rPr>
        <w:t>box and no lubrication needs on the unit.</w:t>
      </w:r>
      <w:r w:rsidR="00FB2381">
        <w:rPr>
          <w:rStyle w:val="FootnoteReference"/>
          <w:rFonts w:cs="Verdana"/>
          <w:color w:val="262626"/>
        </w:rPr>
        <w:footnoteReference w:id="31"/>
      </w:r>
    </w:p>
    <w:p w14:paraId="23BF6C2F" w14:textId="77777777" w:rsidR="00815178" w:rsidRDefault="00815178" w:rsidP="00815178">
      <w:pPr>
        <w:widowControl w:val="0"/>
        <w:autoSpaceDE w:val="0"/>
        <w:autoSpaceDN w:val="0"/>
        <w:adjustRightInd w:val="0"/>
        <w:rPr>
          <w:rFonts w:cs="Verdana"/>
          <w:color w:val="262626"/>
        </w:rPr>
      </w:pPr>
    </w:p>
    <w:p w14:paraId="58DF3C11" w14:textId="77777777" w:rsidR="000A6287" w:rsidRDefault="00815178" w:rsidP="00815178">
      <w:pPr>
        <w:widowControl w:val="0"/>
        <w:autoSpaceDE w:val="0"/>
        <w:autoSpaceDN w:val="0"/>
        <w:adjustRightInd w:val="0"/>
        <w:ind w:left="2160" w:firstLine="720"/>
        <w:rPr>
          <w:rFonts w:cs="Verdana"/>
          <w:b/>
          <w:color w:val="262626"/>
          <w:sz w:val="20"/>
          <w:szCs w:val="20"/>
        </w:rPr>
      </w:pPr>
      <w:r>
        <w:rPr>
          <w:rFonts w:cs="Verdana"/>
          <w:b/>
          <w:color w:val="262626"/>
          <w:sz w:val="20"/>
          <w:szCs w:val="20"/>
        </w:rPr>
        <w:t xml:space="preserve"> </w:t>
      </w:r>
    </w:p>
    <w:p w14:paraId="1779CDB7" w14:textId="77777777" w:rsidR="000A6287" w:rsidRDefault="000A6287" w:rsidP="00815178">
      <w:pPr>
        <w:widowControl w:val="0"/>
        <w:autoSpaceDE w:val="0"/>
        <w:autoSpaceDN w:val="0"/>
        <w:adjustRightInd w:val="0"/>
        <w:ind w:left="2160" w:firstLine="720"/>
        <w:rPr>
          <w:rFonts w:cs="Verdana"/>
          <w:b/>
          <w:color w:val="262626"/>
          <w:sz w:val="20"/>
          <w:szCs w:val="20"/>
        </w:rPr>
      </w:pPr>
    </w:p>
    <w:p w14:paraId="36D5B162" w14:textId="77777777" w:rsidR="000A6287" w:rsidRDefault="000A6287" w:rsidP="00815178">
      <w:pPr>
        <w:widowControl w:val="0"/>
        <w:autoSpaceDE w:val="0"/>
        <w:autoSpaceDN w:val="0"/>
        <w:adjustRightInd w:val="0"/>
        <w:ind w:left="2160" w:firstLine="720"/>
        <w:rPr>
          <w:rFonts w:cs="Verdana"/>
          <w:b/>
          <w:color w:val="262626"/>
          <w:sz w:val="20"/>
          <w:szCs w:val="20"/>
        </w:rPr>
      </w:pPr>
    </w:p>
    <w:p w14:paraId="3F02D684" w14:textId="77777777" w:rsidR="000A6287" w:rsidRDefault="000A6287" w:rsidP="00815178">
      <w:pPr>
        <w:widowControl w:val="0"/>
        <w:autoSpaceDE w:val="0"/>
        <w:autoSpaceDN w:val="0"/>
        <w:adjustRightInd w:val="0"/>
        <w:ind w:left="2160" w:firstLine="720"/>
        <w:rPr>
          <w:rFonts w:cs="Verdana"/>
          <w:b/>
          <w:color w:val="262626"/>
          <w:sz w:val="20"/>
          <w:szCs w:val="20"/>
        </w:rPr>
      </w:pPr>
    </w:p>
    <w:p w14:paraId="6AEC5E97" w14:textId="77777777" w:rsidR="000A6287" w:rsidRDefault="000A6287" w:rsidP="00815178">
      <w:pPr>
        <w:widowControl w:val="0"/>
        <w:autoSpaceDE w:val="0"/>
        <w:autoSpaceDN w:val="0"/>
        <w:adjustRightInd w:val="0"/>
        <w:ind w:left="2160" w:firstLine="720"/>
        <w:rPr>
          <w:rFonts w:cs="Verdana"/>
          <w:b/>
          <w:color w:val="262626"/>
          <w:sz w:val="20"/>
          <w:szCs w:val="20"/>
        </w:rPr>
      </w:pPr>
    </w:p>
    <w:p w14:paraId="08F5C27E" w14:textId="77777777" w:rsidR="000A6287" w:rsidRDefault="000A6287" w:rsidP="00815178">
      <w:pPr>
        <w:widowControl w:val="0"/>
        <w:autoSpaceDE w:val="0"/>
        <w:autoSpaceDN w:val="0"/>
        <w:adjustRightInd w:val="0"/>
        <w:ind w:left="2160" w:firstLine="720"/>
        <w:rPr>
          <w:rFonts w:cs="Verdana"/>
          <w:b/>
          <w:color w:val="262626"/>
          <w:sz w:val="20"/>
          <w:szCs w:val="20"/>
        </w:rPr>
      </w:pPr>
    </w:p>
    <w:p w14:paraId="57330429" w14:textId="77777777" w:rsidR="000A6287" w:rsidRDefault="000A6287" w:rsidP="00815178">
      <w:pPr>
        <w:widowControl w:val="0"/>
        <w:autoSpaceDE w:val="0"/>
        <w:autoSpaceDN w:val="0"/>
        <w:adjustRightInd w:val="0"/>
        <w:ind w:left="2160" w:firstLine="720"/>
        <w:rPr>
          <w:rFonts w:cs="Verdana"/>
          <w:b/>
          <w:color w:val="262626"/>
          <w:sz w:val="20"/>
          <w:szCs w:val="20"/>
        </w:rPr>
      </w:pPr>
    </w:p>
    <w:p w14:paraId="5B336F10" w14:textId="77777777" w:rsidR="000A6287" w:rsidRDefault="000A6287" w:rsidP="00815178">
      <w:pPr>
        <w:widowControl w:val="0"/>
        <w:autoSpaceDE w:val="0"/>
        <w:autoSpaceDN w:val="0"/>
        <w:adjustRightInd w:val="0"/>
        <w:ind w:left="2160" w:firstLine="720"/>
        <w:rPr>
          <w:rFonts w:cs="Verdana"/>
          <w:b/>
          <w:color w:val="262626"/>
          <w:sz w:val="20"/>
          <w:szCs w:val="20"/>
        </w:rPr>
      </w:pPr>
    </w:p>
    <w:p w14:paraId="5F388E4E" w14:textId="77777777" w:rsidR="000A6287" w:rsidRDefault="000A6287" w:rsidP="00815178">
      <w:pPr>
        <w:widowControl w:val="0"/>
        <w:autoSpaceDE w:val="0"/>
        <w:autoSpaceDN w:val="0"/>
        <w:adjustRightInd w:val="0"/>
        <w:ind w:left="2160" w:firstLine="720"/>
        <w:rPr>
          <w:rFonts w:cs="Verdana"/>
          <w:b/>
          <w:color w:val="262626"/>
          <w:sz w:val="20"/>
          <w:szCs w:val="20"/>
        </w:rPr>
      </w:pPr>
    </w:p>
    <w:p w14:paraId="7E1581B0" w14:textId="07104D80" w:rsidR="00815178" w:rsidRDefault="00815178" w:rsidP="00815178">
      <w:pPr>
        <w:widowControl w:val="0"/>
        <w:autoSpaceDE w:val="0"/>
        <w:autoSpaceDN w:val="0"/>
        <w:adjustRightInd w:val="0"/>
        <w:ind w:left="2160" w:firstLine="720"/>
        <w:rPr>
          <w:rFonts w:cs="Verdana"/>
          <w:b/>
          <w:color w:val="262626"/>
          <w:sz w:val="20"/>
          <w:szCs w:val="20"/>
        </w:rPr>
      </w:pPr>
      <w:r>
        <w:rPr>
          <w:rFonts w:cs="Verdana"/>
          <w:b/>
          <w:color w:val="262626"/>
          <w:sz w:val="20"/>
          <w:szCs w:val="20"/>
        </w:rPr>
        <w:t>Torque Wind Turbine</w:t>
      </w:r>
    </w:p>
    <w:p w14:paraId="0CD5B88C" w14:textId="77777777" w:rsidR="00815178" w:rsidRPr="00815178" w:rsidRDefault="00815178" w:rsidP="00815178">
      <w:pPr>
        <w:widowControl w:val="0"/>
        <w:autoSpaceDE w:val="0"/>
        <w:autoSpaceDN w:val="0"/>
        <w:adjustRightInd w:val="0"/>
        <w:rPr>
          <w:rFonts w:cs="Verdana"/>
          <w:color w:val="262626"/>
        </w:rPr>
      </w:pPr>
    </w:p>
    <w:p w14:paraId="36586355" w14:textId="735D2294" w:rsidR="00E50BA3" w:rsidRDefault="0033315A" w:rsidP="0033315A">
      <w:pPr>
        <w:widowControl w:val="0"/>
        <w:autoSpaceDE w:val="0"/>
        <w:autoSpaceDN w:val="0"/>
        <w:adjustRightInd w:val="0"/>
        <w:ind w:left="2160"/>
        <w:rPr>
          <w:rFonts w:cs="Verdana"/>
          <w:color w:val="262626"/>
        </w:rPr>
      </w:pPr>
      <w:r>
        <w:rPr>
          <w:rFonts w:ascii="Helvetica" w:hAnsi="Helvetica" w:cs="Helvetica"/>
          <w:noProof/>
        </w:rPr>
        <w:drawing>
          <wp:inline distT="0" distB="0" distL="0" distR="0" wp14:anchorId="57048173" wp14:editId="3413F89A">
            <wp:extent cx="2400300" cy="1801313"/>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2080" cy="1802648"/>
                    </a:xfrm>
                    <a:prstGeom prst="rect">
                      <a:avLst/>
                    </a:prstGeom>
                    <a:noFill/>
                    <a:ln>
                      <a:noFill/>
                    </a:ln>
                  </pic:spPr>
                </pic:pic>
              </a:graphicData>
            </a:graphic>
          </wp:inline>
        </w:drawing>
      </w:r>
    </w:p>
    <w:p w14:paraId="06BC39F9" w14:textId="77777777" w:rsidR="00E50BA3" w:rsidRDefault="00E50BA3" w:rsidP="00F91BAE">
      <w:pPr>
        <w:widowControl w:val="0"/>
        <w:autoSpaceDE w:val="0"/>
        <w:autoSpaceDN w:val="0"/>
        <w:adjustRightInd w:val="0"/>
        <w:rPr>
          <w:rFonts w:cs="Verdana"/>
          <w:color w:val="262626"/>
        </w:rPr>
      </w:pPr>
    </w:p>
    <w:p w14:paraId="4AFCE1DF" w14:textId="0F4DB7F6" w:rsidR="000F4D88" w:rsidRDefault="00AC40A1" w:rsidP="00F91BAE">
      <w:pPr>
        <w:widowControl w:val="0"/>
        <w:autoSpaceDE w:val="0"/>
        <w:autoSpaceDN w:val="0"/>
        <w:adjustRightInd w:val="0"/>
        <w:rPr>
          <w:rFonts w:cs="Verdana"/>
          <w:color w:val="262626"/>
        </w:rPr>
      </w:pPr>
      <w:r>
        <w:rPr>
          <w:rFonts w:cs="Verdana"/>
          <w:color w:val="262626"/>
        </w:rPr>
        <w:t xml:space="preserve"> </w:t>
      </w:r>
    </w:p>
    <w:p w14:paraId="28561D85" w14:textId="3E233BCD" w:rsidR="00AC40A1" w:rsidRDefault="00CB24D2" w:rsidP="00F91BAE">
      <w:pPr>
        <w:widowControl w:val="0"/>
        <w:autoSpaceDE w:val="0"/>
        <w:autoSpaceDN w:val="0"/>
        <w:adjustRightInd w:val="0"/>
        <w:rPr>
          <w:rFonts w:cs="Verdana"/>
          <w:b/>
          <w:color w:val="262626"/>
        </w:rPr>
      </w:pPr>
      <w:r w:rsidRPr="00CB24D2">
        <w:rPr>
          <w:rFonts w:cs="Verdana"/>
          <w:b/>
          <w:color w:val="262626"/>
        </w:rPr>
        <w:t>Storage Market and Technologies</w:t>
      </w:r>
    </w:p>
    <w:p w14:paraId="169FA262" w14:textId="4164A165" w:rsidR="00F6631D" w:rsidRDefault="00F6631D" w:rsidP="00F91BAE">
      <w:pPr>
        <w:widowControl w:val="0"/>
        <w:autoSpaceDE w:val="0"/>
        <w:autoSpaceDN w:val="0"/>
        <w:adjustRightInd w:val="0"/>
        <w:rPr>
          <w:rFonts w:cs="Verdana"/>
          <w:b/>
          <w:i/>
          <w:color w:val="262626"/>
        </w:rPr>
      </w:pPr>
      <w:r w:rsidRPr="00F6631D">
        <w:rPr>
          <w:rFonts w:cs="Verdana"/>
          <w:b/>
          <w:i/>
          <w:color w:val="262626"/>
        </w:rPr>
        <w:t>Types</w:t>
      </w:r>
      <w:r w:rsidR="003C6D06">
        <w:rPr>
          <w:rFonts w:cs="Verdana"/>
          <w:b/>
          <w:i/>
          <w:color w:val="262626"/>
        </w:rPr>
        <w:t xml:space="preserve"> of Storage Technology and </w:t>
      </w:r>
      <w:r w:rsidRPr="00F6631D">
        <w:rPr>
          <w:rFonts w:cs="Verdana"/>
          <w:b/>
          <w:i/>
          <w:color w:val="262626"/>
        </w:rPr>
        <w:t>Their Roles on the Grid</w:t>
      </w:r>
    </w:p>
    <w:p w14:paraId="090D082B" w14:textId="79F1BA2E" w:rsidR="00F6631D" w:rsidRDefault="00F6631D" w:rsidP="00F91BAE">
      <w:pPr>
        <w:widowControl w:val="0"/>
        <w:autoSpaceDE w:val="0"/>
        <w:autoSpaceDN w:val="0"/>
        <w:adjustRightInd w:val="0"/>
        <w:rPr>
          <w:rFonts w:cs="Verdana"/>
          <w:color w:val="262626"/>
        </w:rPr>
      </w:pPr>
      <w:r>
        <w:rPr>
          <w:rFonts w:cs="Verdana"/>
          <w:color w:val="262626"/>
        </w:rPr>
        <w:t>T</w:t>
      </w:r>
      <w:r w:rsidR="000F78AA">
        <w:rPr>
          <w:rFonts w:cs="Verdana"/>
          <w:color w:val="262626"/>
        </w:rPr>
        <w:t>he focus of this paper is two</w:t>
      </w:r>
      <w:r>
        <w:rPr>
          <w:rFonts w:cs="Verdana"/>
          <w:color w:val="262626"/>
        </w:rPr>
        <w:t xml:space="preserve"> types of storage technology that are being deployed, near/at commercialization or in pilot/demonstration stages:</w:t>
      </w:r>
    </w:p>
    <w:p w14:paraId="2939EC6D" w14:textId="77777777" w:rsidR="00F6631D" w:rsidRDefault="00F6631D" w:rsidP="00F91BAE">
      <w:pPr>
        <w:widowControl w:val="0"/>
        <w:autoSpaceDE w:val="0"/>
        <w:autoSpaceDN w:val="0"/>
        <w:adjustRightInd w:val="0"/>
        <w:rPr>
          <w:rFonts w:cs="Verdana"/>
          <w:color w:val="262626"/>
        </w:rPr>
      </w:pPr>
    </w:p>
    <w:p w14:paraId="7CB61865" w14:textId="768A1B53" w:rsidR="00F6631D" w:rsidRDefault="00F6631D" w:rsidP="00F91BAE">
      <w:pPr>
        <w:widowControl w:val="0"/>
        <w:autoSpaceDE w:val="0"/>
        <w:autoSpaceDN w:val="0"/>
        <w:adjustRightInd w:val="0"/>
        <w:rPr>
          <w:rFonts w:cs="Verdana"/>
          <w:color w:val="262626"/>
        </w:rPr>
      </w:pPr>
      <w:r>
        <w:rPr>
          <w:rFonts w:cs="Verdana"/>
          <w:color w:val="262626"/>
        </w:rPr>
        <w:t>Mechanical: compressed air storage, flywheel storage</w:t>
      </w:r>
    </w:p>
    <w:p w14:paraId="142B1C09" w14:textId="5AEFD851" w:rsidR="00FE4B54" w:rsidRDefault="00F6631D" w:rsidP="00F91BAE">
      <w:pPr>
        <w:widowControl w:val="0"/>
        <w:autoSpaceDE w:val="0"/>
        <w:autoSpaceDN w:val="0"/>
        <w:adjustRightInd w:val="0"/>
        <w:rPr>
          <w:rFonts w:cs="Verdana"/>
          <w:color w:val="262626"/>
        </w:rPr>
      </w:pPr>
      <w:r>
        <w:rPr>
          <w:rFonts w:cs="Verdana"/>
          <w:color w:val="262626"/>
        </w:rPr>
        <w:t>Electro-Chemical: rechargeabl</w:t>
      </w:r>
      <w:r w:rsidR="00505370">
        <w:rPr>
          <w:rFonts w:cs="Verdana"/>
          <w:color w:val="262626"/>
        </w:rPr>
        <w:t>e battery, flow battery, Ultra-</w:t>
      </w:r>
      <w:r>
        <w:rPr>
          <w:rFonts w:cs="Verdana"/>
          <w:color w:val="262626"/>
        </w:rPr>
        <w:t>capacitors</w:t>
      </w:r>
      <w:r w:rsidR="00C272E7">
        <w:rPr>
          <w:rStyle w:val="FootnoteReference"/>
          <w:rFonts w:cs="Verdana"/>
          <w:color w:val="262626"/>
        </w:rPr>
        <w:footnoteReference w:id="32"/>
      </w:r>
    </w:p>
    <w:p w14:paraId="16A15A3F" w14:textId="77777777" w:rsidR="00FE4B54" w:rsidRDefault="00FE4B54" w:rsidP="00F91BAE">
      <w:pPr>
        <w:widowControl w:val="0"/>
        <w:autoSpaceDE w:val="0"/>
        <w:autoSpaceDN w:val="0"/>
        <w:adjustRightInd w:val="0"/>
        <w:rPr>
          <w:rFonts w:cs="Verdana"/>
          <w:color w:val="262626"/>
        </w:rPr>
      </w:pPr>
    </w:p>
    <w:p w14:paraId="52EC4958" w14:textId="6EFFF97B" w:rsidR="00C272E7" w:rsidRDefault="00FE4B54" w:rsidP="00F91BAE">
      <w:pPr>
        <w:widowControl w:val="0"/>
        <w:autoSpaceDE w:val="0"/>
        <w:autoSpaceDN w:val="0"/>
        <w:adjustRightInd w:val="0"/>
        <w:rPr>
          <w:rFonts w:cs="Verdana"/>
          <w:color w:val="262626"/>
        </w:rPr>
      </w:pPr>
      <w:r>
        <w:rPr>
          <w:rFonts w:cs="Verdana"/>
          <w:color w:val="262626"/>
        </w:rPr>
        <w:t>Ultimately, these technologies (along with demand response options</w:t>
      </w:r>
      <w:r>
        <w:rPr>
          <w:rStyle w:val="FootnoteReference"/>
          <w:rFonts w:cs="Verdana"/>
          <w:color w:val="262626"/>
        </w:rPr>
        <w:footnoteReference w:id="33"/>
      </w:r>
      <w:r>
        <w:rPr>
          <w:rFonts w:cs="Verdana"/>
          <w:color w:val="262626"/>
        </w:rPr>
        <w:t>) will replace natural gas-fired power plants that provide peak power and smooth variable generation</w:t>
      </w:r>
      <w:r w:rsidR="00C272E7">
        <w:rPr>
          <w:rFonts w:cs="Verdana"/>
          <w:color w:val="262626"/>
        </w:rPr>
        <w:t xml:space="preserve"> in solar PV and wind farm output</w:t>
      </w:r>
      <w:r>
        <w:rPr>
          <w:rFonts w:cs="Verdana"/>
          <w:color w:val="262626"/>
        </w:rPr>
        <w:t xml:space="preserve">.  </w:t>
      </w:r>
      <w:r w:rsidR="00F6631D">
        <w:rPr>
          <w:rFonts w:cs="Verdana"/>
          <w:color w:val="262626"/>
        </w:rPr>
        <w:t xml:space="preserve"> </w:t>
      </w:r>
      <w:r w:rsidR="00D10A9A">
        <w:rPr>
          <w:rFonts w:cs="Verdana"/>
          <w:color w:val="262626"/>
        </w:rPr>
        <w:t xml:space="preserve">These technologies are designed to correct fluctuations in the grid for periods of seconds, minutes, or hours.  They will ultimately cover any contingency grid operation requires. </w:t>
      </w:r>
      <w:r w:rsidR="00C272E7">
        <w:rPr>
          <w:rFonts w:cs="Verdana"/>
          <w:color w:val="262626"/>
        </w:rPr>
        <w:t xml:space="preserve"> Their capabilities are superior to those of natural gas-fired power plants in terms of response ti</w:t>
      </w:r>
      <w:r w:rsidR="002A18A2">
        <w:rPr>
          <w:rFonts w:cs="Verdana"/>
          <w:color w:val="262626"/>
        </w:rPr>
        <w:t>me and spectrum of output – any</w:t>
      </w:r>
      <w:r w:rsidR="00C272E7">
        <w:rPr>
          <w:rFonts w:cs="Verdana"/>
          <w:color w:val="262626"/>
        </w:rPr>
        <w:t xml:space="preserve">where from zero to maximum within fractions of a second.  They will also play a pivotal role in micro-grid development. </w:t>
      </w:r>
    </w:p>
    <w:p w14:paraId="32D7077C" w14:textId="77777777" w:rsidR="00EF54AD" w:rsidRDefault="00EF54AD" w:rsidP="00F91BAE">
      <w:pPr>
        <w:widowControl w:val="0"/>
        <w:autoSpaceDE w:val="0"/>
        <w:autoSpaceDN w:val="0"/>
        <w:adjustRightInd w:val="0"/>
        <w:rPr>
          <w:rFonts w:cs="Verdana"/>
          <w:color w:val="262626"/>
        </w:rPr>
      </w:pPr>
    </w:p>
    <w:p w14:paraId="7E46DD7C" w14:textId="2621B468" w:rsidR="00EF54AD" w:rsidRDefault="00EF54AD" w:rsidP="00F91BAE">
      <w:pPr>
        <w:widowControl w:val="0"/>
        <w:autoSpaceDE w:val="0"/>
        <w:autoSpaceDN w:val="0"/>
        <w:adjustRightInd w:val="0"/>
        <w:rPr>
          <w:rFonts w:cs="Verdana"/>
          <w:color w:val="262626"/>
        </w:rPr>
      </w:pPr>
      <w:r>
        <w:rPr>
          <w:rFonts w:cs="Verdana"/>
          <w:color w:val="262626"/>
        </w:rPr>
        <w:t>A question that comes to mind is what sources of power will be used to support these technologies.  As it happens, as the percentage of generation from solar PV and wind turbines grows, the more excess power will be generated – either during the day when solar</w:t>
      </w:r>
      <w:r w:rsidR="000F78AA">
        <w:rPr>
          <w:rFonts w:cs="Verdana"/>
          <w:color w:val="262626"/>
        </w:rPr>
        <w:t xml:space="preserve"> and/or wind</w:t>
      </w:r>
      <w:r>
        <w:rPr>
          <w:rFonts w:cs="Verdana"/>
          <w:color w:val="262626"/>
        </w:rPr>
        <w:t xml:space="preserve"> output is particularly high or at nighttime when low demand creates excess power from wind turbines.  Ultimately, energy to stora</w:t>
      </w:r>
      <w:r w:rsidR="000F78AA">
        <w:rPr>
          <w:rFonts w:cs="Verdana"/>
          <w:color w:val="262626"/>
        </w:rPr>
        <w:t>ge technologies will be powered/charged</w:t>
      </w:r>
      <w:r>
        <w:rPr>
          <w:rFonts w:cs="Verdana"/>
          <w:color w:val="262626"/>
        </w:rPr>
        <w:t xml:space="preserve"> solely by renewables.  </w:t>
      </w:r>
    </w:p>
    <w:p w14:paraId="4D05CC52" w14:textId="77777777" w:rsidR="002C2C0B" w:rsidRDefault="002C2C0B" w:rsidP="00F91BAE">
      <w:pPr>
        <w:widowControl w:val="0"/>
        <w:autoSpaceDE w:val="0"/>
        <w:autoSpaceDN w:val="0"/>
        <w:adjustRightInd w:val="0"/>
        <w:rPr>
          <w:rFonts w:cs="Verdana"/>
          <w:color w:val="262626"/>
        </w:rPr>
      </w:pPr>
    </w:p>
    <w:p w14:paraId="48FE086A" w14:textId="411A74A1" w:rsidR="00EF54AD" w:rsidRDefault="00EF54AD" w:rsidP="00F91BAE">
      <w:pPr>
        <w:widowControl w:val="0"/>
        <w:autoSpaceDE w:val="0"/>
        <w:autoSpaceDN w:val="0"/>
        <w:adjustRightInd w:val="0"/>
        <w:rPr>
          <w:rFonts w:cs="Verdana"/>
          <w:color w:val="262626"/>
        </w:rPr>
      </w:pPr>
      <w:r>
        <w:rPr>
          <w:rFonts w:cs="Verdana"/>
          <w:color w:val="262626"/>
        </w:rPr>
        <w:t xml:space="preserve">What storage technologies do is make variable solar PV and wind dispatchable.  Stored </w:t>
      </w:r>
      <w:r w:rsidR="00E60D20">
        <w:rPr>
          <w:rFonts w:cs="Verdana"/>
          <w:color w:val="262626"/>
        </w:rPr>
        <w:t xml:space="preserve">solar and wind </w:t>
      </w:r>
      <w:r>
        <w:rPr>
          <w:rFonts w:cs="Verdana"/>
          <w:color w:val="262626"/>
        </w:rPr>
        <w:t xml:space="preserve">energy can be provided when needed.  </w:t>
      </w:r>
    </w:p>
    <w:p w14:paraId="63510E40" w14:textId="77777777" w:rsidR="009B5C74" w:rsidRDefault="009B5C74" w:rsidP="00F91BAE">
      <w:pPr>
        <w:widowControl w:val="0"/>
        <w:autoSpaceDE w:val="0"/>
        <w:autoSpaceDN w:val="0"/>
        <w:adjustRightInd w:val="0"/>
        <w:rPr>
          <w:rFonts w:cs="Verdana"/>
          <w:color w:val="262626"/>
        </w:rPr>
      </w:pPr>
    </w:p>
    <w:p w14:paraId="379C872A" w14:textId="09B40F74" w:rsidR="009B5C74" w:rsidRDefault="009B5C74" w:rsidP="00F91BAE">
      <w:pPr>
        <w:widowControl w:val="0"/>
        <w:autoSpaceDE w:val="0"/>
        <w:autoSpaceDN w:val="0"/>
        <w:adjustRightInd w:val="0"/>
        <w:rPr>
          <w:rFonts w:cs="Verdana"/>
          <w:color w:val="262626"/>
        </w:rPr>
      </w:pPr>
      <w:r>
        <w:rPr>
          <w:rFonts w:cs="Verdana"/>
          <w:color w:val="262626"/>
        </w:rPr>
        <w:t xml:space="preserve">Having said this, however, storage is not required for substantial penetration of wind and solar PV to occur.  This is a fallacy engendered by those who want to slow solar and </w:t>
      </w:r>
      <w:r w:rsidR="0015653D">
        <w:rPr>
          <w:rFonts w:cs="Verdana"/>
          <w:color w:val="262626"/>
        </w:rPr>
        <w:t xml:space="preserve">wind development.  PJM (the eastern US regional transmission organization) </w:t>
      </w:r>
      <w:r>
        <w:rPr>
          <w:rFonts w:cs="Verdana"/>
          <w:color w:val="262626"/>
        </w:rPr>
        <w:t>recently publish</w:t>
      </w:r>
      <w:r w:rsidR="0015653D">
        <w:rPr>
          <w:rFonts w:cs="Verdana"/>
          <w:color w:val="262626"/>
        </w:rPr>
        <w:t>ed a study</w:t>
      </w:r>
      <w:r>
        <w:rPr>
          <w:rFonts w:cs="Verdana"/>
          <w:color w:val="262626"/>
        </w:rPr>
        <w:t xml:space="preserve"> stating that variable renewable penetration could be has high as 30% before substantial changes to the grid were needed.</w:t>
      </w:r>
      <w:r w:rsidR="006510E4">
        <w:rPr>
          <w:rStyle w:val="FootnoteReference"/>
          <w:rFonts w:cs="Verdana"/>
          <w:color w:val="262626"/>
        </w:rPr>
        <w:footnoteReference w:id="34"/>
      </w:r>
      <w:r>
        <w:rPr>
          <w:rFonts w:cs="Verdana"/>
          <w:color w:val="262626"/>
        </w:rPr>
        <w:t xml:space="preserve"> </w:t>
      </w:r>
    </w:p>
    <w:p w14:paraId="5516B03C" w14:textId="77777777" w:rsidR="00C272E7" w:rsidRDefault="00C272E7" w:rsidP="00F91BAE">
      <w:pPr>
        <w:widowControl w:val="0"/>
        <w:autoSpaceDE w:val="0"/>
        <w:autoSpaceDN w:val="0"/>
        <w:adjustRightInd w:val="0"/>
        <w:rPr>
          <w:rFonts w:cs="Verdana"/>
          <w:color w:val="262626"/>
        </w:rPr>
      </w:pPr>
    </w:p>
    <w:p w14:paraId="31309110" w14:textId="7BA25BB7" w:rsidR="00AC40A1" w:rsidRDefault="00640E2D" w:rsidP="00F91BAE">
      <w:pPr>
        <w:widowControl w:val="0"/>
        <w:autoSpaceDE w:val="0"/>
        <w:autoSpaceDN w:val="0"/>
        <w:adjustRightInd w:val="0"/>
        <w:rPr>
          <w:rFonts w:cs="Verdana"/>
          <w:b/>
          <w:bCs/>
          <w:i/>
          <w:color w:val="262626"/>
        </w:rPr>
      </w:pPr>
      <w:r>
        <w:rPr>
          <w:rFonts w:cs="Verdana"/>
          <w:b/>
          <w:bCs/>
          <w:i/>
          <w:color w:val="262626"/>
        </w:rPr>
        <w:t xml:space="preserve">General </w:t>
      </w:r>
      <w:r w:rsidR="00CB24D2" w:rsidRPr="00A221BD">
        <w:rPr>
          <w:rFonts w:cs="Verdana"/>
          <w:b/>
          <w:bCs/>
          <w:i/>
          <w:color w:val="262626"/>
        </w:rPr>
        <w:t>Market</w:t>
      </w:r>
    </w:p>
    <w:p w14:paraId="465DADD0" w14:textId="00908AE7" w:rsidR="00A221BD" w:rsidRDefault="00A221BD" w:rsidP="00F91BAE">
      <w:pPr>
        <w:widowControl w:val="0"/>
        <w:autoSpaceDE w:val="0"/>
        <w:autoSpaceDN w:val="0"/>
        <w:adjustRightInd w:val="0"/>
        <w:rPr>
          <w:rFonts w:cs="Verdana"/>
          <w:bCs/>
          <w:color w:val="262626"/>
        </w:rPr>
      </w:pPr>
      <w:r>
        <w:rPr>
          <w:rFonts w:cs="Verdana"/>
          <w:bCs/>
          <w:color w:val="262626"/>
        </w:rPr>
        <w:t>The literature seems to be focused mainly on the battery storage market.</w:t>
      </w:r>
    </w:p>
    <w:p w14:paraId="12E1EEBD" w14:textId="77777777" w:rsidR="00A221BD" w:rsidRPr="00A221BD" w:rsidRDefault="00A221BD" w:rsidP="00F91BAE">
      <w:pPr>
        <w:widowControl w:val="0"/>
        <w:autoSpaceDE w:val="0"/>
        <w:autoSpaceDN w:val="0"/>
        <w:adjustRightInd w:val="0"/>
        <w:rPr>
          <w:rFonts w:cs="Verdana"/>
          <w:bCs/>
          <w:color w:val="262626"/>
        </w:rPr>
      </w:pPr>
    </w:p>
    <w:p w14:paraId="6E53D505" w14:textId="71949A74" w:rsidR="00D066E2" w:rsidRDefault="002C0385" w:rsidP="00F91BAE">
      <w:pPr>
        <w:widowControl w:val="0"/>
        <w:autoSpaceDE w:val="0"/>
        <w:autoSpaceDN w:val="0"/>
        <w:adjustRightInd w:val="0"/>
        <w:rPr>
          <w:rFonts w:cs="Verdana"/>
          <w:color w:val="262626"/>
        </w:rPr>
      </w:pPr>
      <w:r>
        <w:rPr>
          <w:rFonts w:cs="Verdana"/>
          <w:color w:val="262626"/>
        </w:rPr>
        <w:t xml:space="preserve">According to the DOE energy storage database, there are currently 863 global storage projects either operational, under construction, or decommissioned amounting to over 145 gigawatts.  There are over 3.5 gigawatts operational, 571 projects.  In terms of gigawatts, pumped storage leads followed </w:t>
      </w:r>
      <w:r w:rsidR="009B5C74">
        <w:rPr>
          <w:rFonts w:cs="Verdana"/>
          <w:color w:val="262626"/>
        </w:rPr>
        <w:t>by electro-mechanical and then electro-chemical projects.  In terms of projects, there are far more electro-chemical projects than any other currently operating.  The top countries in most categories are Japan, China, and the US  - although Germany, Spain, the UK, and Italy are strong participants in certain categories as well.  There has been a noticeable uptick in projects since 2007.</w:t>
      </w:r>
      <w:r w:rsidR="00B81943">
        <w:rPr>
          <w:rStyle w:val="FootnoteReference"/>
          <w:rFonts w:cs="Verdana"/>
          <w:color w:val="262626"/>
        </w:rPr>
        <w:footnoteReference w:id="35"/>
      </w:r>
      <w:r w:rsidR="00640E2D">
        <w:rPr>
          <w:rFonts w:cs="Verdana"/>
          <w:color w:val="262626"/>
        </w:rPr>
        <w:t xml:space="preserve">  Navigant reports that almost 400 megawatts of energy storage projects were announced globally in 2014 (equally divided between North America, the Asia-Pacific, and Europe) and IHS predicts global storage capacity to rise “6 gigawatts per year by 2017, reaching 40 gigawatts by the end of 2022.</w:t>
      </w:r>
      <w:r w:rsidR="00314E5C">
        <w:rPr>
          <w:rStyle w:val="FootnoteReference"/>
          <w:rFonts w:cs="Verdana"/>
          <w:color w:val="262626"/>
        </w:rPr>
        <w:footnoteReference w:id="36"/>
      </w:r>
    </w:p>
    <w:p w14:paraId="145C3EB8" w14:textId="77777777" w:rsidR="00F8393A" w:rsidRDefault="00F8393A" w:rsidP="00F91BAE">
      <w:pPr>
        <w:widowControl w:val="0"/>
        <w:autoSpaceDE w:val="0"/>
        <w:autoSpaceDN w:val="0"/>
        <w:adjustRightInd w:val="0"/>
        <w:rPr>
          <w:rFonts w:cs="Verdana"/>
          <w:color w:val="262626"/>
        </w:rPr>
      </w:pPr>
    </w:p>
    <w:p w14:paraId="1EA5679B" w14:textId="4A845CFB" w:rsidR="00640E2D" w:rsidRPr="00314E5C" w:rsidRDefault="00640E2D" w:rsidP="00F91BAE">
      <w:pPr>
        <w:widowControl w:val="0"/>
        <w:autoSpaceDE w:val="0"/>
        <w:autoSpaceDN w:val="0"/>
        <w:adjustRightInd w:val="0"/>
        <w:rPr>
          <w:rFonts w:cs="Verdana"/>
          <w:b/>
          <w:i/>
          <w:color w:val="262626"/>
        </w:rPr>
      </w:pPr>
      <w:r w:rsidRPr="00314E5C">
        <w:rPr>
          <w:rFonts w:cs="Verdana"/>
          <w:b/>
          <w:i/>
          <w:color w:val="262626"/>
        </w:rPr>
        <w:t>Battery Market and Technologies</w:t>
      </w:r>
    </w:p>
    <w:p w14:paraId="6128E5B3" w14:textId="7900F0AC" w:rsidR="00314E5C" w:rsidRPr="00B52C7D" w:rsidRDefault="00314E5C" w:rsidP="00F91BAE">
      <w:pPr>
        <w:widowControl w:val="0"/>
        <w:autoSpaceDE w:val="0"/>
        <w:autoSpaceDN w:val="0"/>
        <w:adjustRightInd w:val="0"/>
        <w:rPr>
          <w:rFonts w:cs="Verdana"/>
          <w:bCs/>
          <w:smallCaps/>
          <w:color w:val="262626"/>
        </w:rPr>
      </w:pPr>
      <w:r w:rsidRPr="00B52C7D">
        <w:rPr>
          <w:rFonts w:cs="Verdana"/>
          <w:bCs/>
          <w:smallCaps/>
          <w:color w:val="262626"/>
        </w:rPr>
        <w:t>Market</w:t>
      </w:r>
    </w:p>
    <w:p w14:paraId="31DEC9C6" w14:textId="30BB4E31" w:rsidR="00F8393A" w:rsidRDefault="009A7D50" w:rsidP="00F91BAE">
      <w:pPr>
        <w:widowControl w:val="0"/>
        <w:autoSpaceDE w:val="0"/>
        <w:autoSpaceDN w:val="0"/>
        <w:adjustRightInd w:val="0"/>
        <w:rPr>
          <w:rFonts w:cs="Verdana"/>
          <w:color w:val="262626"/>
        </w:rPr>
      </w:pPr>
      <w:r>
        <w:rPr>
          <w:rFonts w:cs="Verdana"/>
          <w:color w:val="262626"/>
        </w:rPr>
        <w:t>Navigant, an energy market rese</w:t>
      </w:r>
      <w:r w:rsidR="00E64223">
        <w:rPr>
          <w:rFonts w:cs="Verdana"/>
          <w:color w:val="262626"/>
        </w:rPr>
        <w:t>arch firm, expects global battery</w:t>
      </w:r>
      <w:r>
        <w:rPr>
          <w:rFonts w:cs="Verdana"/>
          <w:color w:val="262626"/>
        </w:rPr>
        <w:t xml:space="preserve"> storage capacity to reach 20.8 gigawatts by 2024</w:t>
      </w:r>
      <w:r w:rsidR="00126997">
        <w:rPr>
          <w:rFonts w:cs="Verdana"/>
          <w:color w:val="262626"/>
        </w:rPr>
        <w:t>, from just under 600 megawatts today</w:t>
      </w:r>
      <w:r>
        <w:rPr>
          <w:rFonts w:cs="Verdana"/>
          <w:color w:val="262626"/>
        </w:rPr>
        <w:t>. These technologies will provide “electric supply reserve capacity (currently fulfilled by overbuilt fossil and nuclear power plants), grid frequency regulation (over seconds to minutes), load following (tracking the increase and decrease of demand during the day over hours), transmission and distribution upgrade deferral, voltage support (over seconds to minutes)” …. and utility-scale solar and wind integration.</w:t>
      </w:r>
      <w:r>
        <w:rPr>
          <w:rStyle w:val="FootnoteReference"/>
          <w:rFonts w:cs="Verdana"/>
          <w:color w:val="262626"/>
        </w:rPr>
        <w:footnoteReference w:id="37"/>
      </w:r>
      <w:r w:rsidR="00126997">
        <w:rPr>
          <w:rFonts w:cs="Verdana"/>
          <w:color w:val="262626"/>
        </w:rPr>
        <w:t xml:space="preserve"> Monetarily, the utilit</w:t>
      </w:r>
      <w:r w:rsidR="00E64223">
        <w:rPr>
          <w:rFonts w:cs="Verdana"/>
          <w:color w:val="262626"/>
        </w:rPr>
        <w:t xml:space="preserve">y-scale battery market in the US </w:t>
      </w:r>
      <w:r w:rsidR="00126997">
        <w:rPr>
          <w:rFonts w:cs="Verdana"/>
          <w:color w:val="262626"/>
        </w:rPr>
        <w:t>will climb f</w:t>
      </w:r>
      <w:r w:rsidR="00E64223">
        <w:rPr>
          <w:rFonts w:cs="Verdana"/>
          <w:color w:val="262626"/>
        </w:rPr>
        <w:t>rom $164 million in 2014 to $2.5</w:t>
      </w:r>
      <w:r w:rsidR="00126997">
        <w:rPr>
          <w:rFonts w:cs="Verdana"/>
          <w:color w:val="262626"/>
        </w:rPr>
        <w:t xml:space="preserve"> billion to 2023.</w:t>
      </w:r>
      <w:r w:rsidR="00126997">
        <w:rPr>
          <w:rStyle w:val="FootnoteReference"/>
          <w:rFonts w:cs="Verdana"/>
          <w:color w:val="262626"/>
        </w:rPr>
        <w:footnoteReference w:id="38"/>
      </w:r>
      <w:r w:rsidR="008D7061">
        <w:rPr>
          <w:rFonts w:cs="Verdana"/>
          <w:color w:val="262626"/>
        </w:rPr>
        <w:t xml:space="preserve">  Navigant expects the distributed battery storage market to increase from $452 million annually in 2014 to $16.5 billion annually by 2024.</w:t>
      </w:r>
      <w:r w:rsidR="008D7061">
        <w:rPr>
          <w:rStyle w:val="FootnoteReference"/>
          <w:rFonts w:cs="Verdana"/>
          <w:color w:val="262626"/>
        </w:rPr>
        <w:footnoteReference w:id="39"/>
      </w:r>
    </w:p>
    <w:p w14:paraId="23811E0F" w14:textId="77777777" w:rsidR="00126997" w:rsidRDefault="00126997" w:rsidP="00F91BAE">
      <w:pPr>
        <w:widowControl w:val="0"/>
        <w:autoSpaceDE w:val="0"/>
        <w:autoSpaceDN w:val="0"/>
        <w:adjustRightInd w:val="0"/>
        <w:rPr>
          <w:rFonts w:cs="Verdana"/>
          <w:color w:val="262626"/>
        </w:rPr>
      </w:pPr>
    </w:p>
    <w:p w14:paraId="2B6AE836" w14:textId="3F5B3363" w:rsidR="00126997" w:rsidRDefault="00126997" w:rsidP="00126997">
      <w:pPr>
        <w:widowControl w:val="0"/>
        <w:autoSpaceDE w:val="0"/>
        <w:autoSpaceDN w:val="0"/>
        <w:adjustRightInd w:val="0"/>
        <w:ind w:left="2160"/>
        <w:rPr>
          <w:rFonts w:cs="Verdana"/>
          <w:color w:val="262626"/>
        </w:rPr>
      </w:pPr>
      <w:r w:rsidRPr="003441FE">
        <w:rPr>
          <w:rFonts w:ascii="Helvetica" w:hAnsi="Helvetica" w:cs="Helvetica"/>
          <w:noProof/>
        </w:rPr>
        <w:drawing>
          <wp:inline distT="0" distB="0" distL="0" distR="0" wp14:anchorId="28CF39A7" wp14:editId="30E38998">
            <wp:extent cx="2631163" cy="1585889"/>
            <wp:effectExtent l="0" t="0" r="1079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1473" cy="1586076"/>
                    </a:xfrm>
                    <a:prstGeom prst="rect">
                      <a:avLst/>
                    </a:prstGeom>
                    <a:noFill/>
                    <a:ln>
                      <a:noFill/>
                    </a:ln>
                  </pic:spPr>
                </pic:pic>
              </a:graphicData>
            </a:graphic>
          </wp:inline>
        </w:drawing>
      </w:r>
    </w:p>
    <w:p w14:paraId="073AD3C6" w14:textId="77777777" w:rsidR="009A7D50" w:rsidRDefault="009A7D50" w:rsidP="00F91BAE">
      <w:pPr>
        <w:widowControl w:val="0"/>
        <w:autoSpaceDE w:val="0"/>
        <w:autoSpaceDN w:val="0"/>
        <w:adjustRightInd w:val="0"/>
        <w:rPr>
          <w:rFonts w:cs="Verdana"/>
          <w:color w:val="262626"/>
        </w:rPr>
      </w:pPr>
    </w:p>
    <w:p w14:paraId="76DB0CFF" w14:textId="2A161612" w:rsidR="009A7D50" w:rsidRDefault="0058169F" w:rsidP="00F91BAE">
      <w:pPr>
        <w:widowControl w:val="0"/>
        <w:autoSpaceDE w:val="0"/>
        <w:autoSpaceDN w:val="0"/>
        <w:adjustRightInd w:val="0"/>
        <w:rPr>
          <w:rFonts w:cs="Verdana"/>
          <w:color w:val="262626"/>
        </w:rPr>
      </w:pPr>
      <w:r>
        <w:rPr>
          <w:rFonts w:cs="Verdana"/>
          <w:color w:val="262626"/>
        </w:rPr>
        <w:t>Near-term prospects for battery storage</w:t>
      </w:r>
      <w:r w:rsidR="008E6B44">
        <w:rPr>
          <w:rFonts w:cs="Verdana"/>
          <w:color w:val="262626"/>
        </w:rPr>
        <w:t xml:space="preserve"> appear positive.  One industry representative says utility scale storage is already competitive with natural gas.  </w:t>
      </w:r>
      <w:r>
        <w:rPr>
          <w:rFonts w:cs="Verdana"/>
          <w:color w:val="262626"/>
        </w:rPr>
        <w:t>Others predict that battery storage will be competitive with nat</w:t>
      </w:r>
      <w:r w:rsidR="00233BD2">
        <w:rPr>
          <w:rFonts w:cs="Verdana"/>
          <w:color w:val="262626"/>
        </w:rPr>
        <w:t>ural gas globally</w:t>
      </w:r>
      <w:r>
        <w:rPr>
          <w:rFonts w:cs="Verdana"/>
          <w:color w:val="262626"/>
        </w:rPr>
        <w:t xml:space="preserve"> </w:t>
      </w:r>
      <w:r w:rsidR="00233BD2">
        <w:rPr>
          <w:rFonts w:cs="Verdana"/>
          <w:color w:val="262626"/>
        </w:rPr>
        <w:t xml:space="preserve">(including the US) </w:t>
      </w:r>
      <w:r>
        <w:rPr>
          <w:rFonts w:cs="Verdana"/>
          <w:color w:val="262626"/>
        </w:rPr>
        <w:t>within 18 months.</w:t>
      </w:r>
      <w:r w:rsidR="00233BD2">
        <w:rPr>
          <w:rStyle w:val="FootnoteReference"/>
          <w:rFonts w:cs="Verdana"/>
          <w:color w:val="262626"/>
        </w:rPr>
        <w:footnoteReference w:id="40"/>
      </w:r>
      <w:r>
        <w:rPr>
          <w:rFonts w:cs="Verdana"/>
          <w:color w:val="262626"/>
        </w:rPr>
        <w:t xml:space="preserve"> </w:t>
      </w:r>
      <w:r w:rsidR="005C12E1">
        <w:rPr>
          <w:rFonts w:cs="Verdana"/>
          <w:color w:val="262626"/>
        </w:rPr>
        <w:t>Lithium-ion batteries declined in price over the last 4 years by 40% and are expected to fall another 40% in 3 to 5 years.  The target price for battery storage on the wholesale market is under $500/kilowatt hour at which point, analysts believe, the market will take off.  Some manufacturers are reaching that mark now or soon will.</w:t>
      </w:r>
      <w:r w:rsidR="005C12E1">
        <w:rPr>
          <w:rStyle w:val="FootnoteReference"/>
          <w:rFonts w:cs="Verdana"/>
          <w:color w:val="262626"/>
        </w:rPr>
        <w:footnoteReference w:id="41"/>
      </w:r>
    </w:p>
    <w:p w14:paraId="5709B2FF" w14:textId="77777777" w:rsidR="00126997" w:rsidRDefault="00126997" w:rsidP="00F91BAE">
      <w:pPr>
        <w:widowControl w:val="0"/>
        <w:autoSpaceDE w:val="0"/>
        <w:autoSpaceDN w:val="0"/>
        <w:adjustRightInd w:val="0"/>
        <w:rPr>
          <w:rFonts w:cs="Verdana"/>
          <w:color w:val="262626"/>
        </w:rPr>
      </w:pPr>
    </w:p>
    <w:p w14:paraId="2A24C112" w14:textId="4EF6EF04" w:rsidR="00126997" w:rsidRDefault="00091A2E" w:rsidP="00F91BAE">
      <w:pPr>
        <w:widowControl w:val="0"/>
        <w:autoSpaceDE w:val="0"/>
        <w:autoSpaceDN w:val="0"/>
        <w:adjustRightInd w:val="0"/>
        <w:rPr>
          <w:rFonts w:cs="Verdana"/>
          <w:color w:val="262626"/>
        </w:rPr>
      </w:pPr>
      <w:r>
        <w:rPr>
          <w:rFonts w:cs="Verdana"/>
          <w:color w:val="262626"/>
        </w:rPr>
        <w:t>The “solar-plus-storage” market is set t</w:t>
      </w:r>
      <w:r w:rsidR="00B0232B">
        <w:rPr>
          <w:rFonts w:cs="Verdana"/>
          <w:color w:val="262626"/>
        </w:rPr>
        <w:t>o expand significantly by 2018.</w:t>
      </w:r>
      <w:r>
        <w:rPr>
          <w:rFonts w:cs="Verdana"/>
          <w:color w:val="262626"/>
        </w:rPr>
        <w:t xml:space="preserve">  Analysts believe that this will happen first in the commercial sector where high demand charges can be offset by storage technology and returns are high – 16 to 23% in 2014 and 15 to 50% percent with high demand charges.  (For the residential market it’s currently 6 to 14%.)</w:t>
      </w:r>
      <w:r w:rsidR="00A77C18">
        <w:rPr>
          <w:rFonts w:cs="Verdana"/>
          <w:color w:val="262626"/>
        </w:rPr>
        <w:t xml:space="preserve">  This market is estimated at $6 billion.</w:t>
      </w:r>
      <w:r w:rsidR="001346EF">
        <w:rPr>
          <w:rStyle w:val="FootnoteReference"/>
          <w:rFonts w:cs="Verdana"/>
          <w:color w:val="262626"/>
        </w:rPr>
        <w:footnoteReference w:id="42"/>
      </w:r>
      <w:r>
        <w:rPr>
          <w:rFonts w:cs="Verdana"/>
          <w:color w:val="262626"/>
        </w:rPr>
        <w:t xml:space="preserve">  These facilities can also provide services to the grid.  As depicted here:</w:t>
      </w:r>
    </w:p>
    <w:p w14:paraId="667D62A8" w14:textId="77777777" w:rsidR="00091A2E" w:rsidRDefault="00091A2E" w:rsidP="00F91BAE">
      <w:pPr>
        <w:widowControl w:val="0"/>
        <w:autoSpaceDE w:val="0"/>
        <w:autoSpaceDN w:val="0"/>
        <w:adjustRightInd w:val="0"/>
        <w:rPr>
          <w:rFonts w:cs="Verdana"/>
          <w:color w:val="262626"/>
        </w:rPr>
      </w:pPr>
    </w:p>
    <w:p w14:paraId="41BB0551" w14:textId="77777777" w:rsidR="000F78AA" w:rsidRDefault="000F78AA" w:rsidP="00F91BAE">
      <w:pPr>
        <w:widowControl w:val="0"/>
        <w:autoSpaceDE w:val="0"/>
        <w:autoSpaceDN w:val="0"/>
        <w:adjustRightInd w:val="0"/>
        <w:rPr>
          <w:rFonts w:cs="Verdana"/>
          <w:color w:val="262626"/>
        </w:rPr>
      </w:pPr>
    </w:p>
    <w:p w14:paraId="10D6A8AC" w14:textId="1611960B" w:rsidR="000F78AA" w:rsidRDefault="00091A2E" w:rsidP="000F78AA">
      <w:pPr>
        <w:widowControl w:val="0"/>
        <w:autoSpaceDE w:val="0"/>
        <w:autoSpaceDN w:val="0"/>
        <w:adjustRightInd w:val="0"/>
        <w:ind w:left="2160"/>
        <w:rPr>
          <w:rFonts w:cs="Verdana"/>
          <w:color w:val="262626"/>
        </w:rPr>
      </w:pPr>
      <w:r w:rsidRPr="003441FE">
        <w:rPr>
          <w:rFonts w:ascii="Helvetica" w:hAnsi="Helvetica" w:cs="Helvetica"/>
          <w:noProof/>
        </w:rPr>
        <w:drawing>
          <wp:inline distT="0" distB="0" distL="0" distR="0" wp14:anchorId="2637BBC1" wp14:editId="6A390E13">
            <wp:extent cx="2400300" cy="1801391"/>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0871" cy="1801820"/>
                    </a:xfrm>
                    <a:prstGeom prst="rect">
                      <a:avLst/>
                    </a:prstGeom>
                    <a:noFill/>
                    <a:ln>
                      <a:noFill/>
                    </a:ln>
                  </pic:spPr>
                </pic:pic>
              </a:graphicData>
            </a:graphic>
          </wp:inline>
        </w:drawing>
      </w:r>
    </w:p>
    <w:p w14:paraId="06A20DE9" w14:textId="5BC19727" w:rsidR="00091A2E" w:rsidRDefault="000F78AA" w:rsidP="00091A2E">
      <w:pPr>
        <w:widowControl w:val="0"/>
        <w:autoSpaceDE w:val="0"/>
        <w:autoSpaceDN w:val="0"/>
        <w:adjustRightInd w:val="0"/>
        <w:rPr>
          <w:rFonts w:cs="Verdana"/>
          <w:color w:val="262626"/>
          <w:sz w:val="16"/>
          <w:szCs w:val="16"/>
        </w:rPr>
      </w:pPr>
      <w:r>
        <w:rPr>
          <w:rFonts w:cs="Verdana"/>
          <w:color w:val="262626"/>
        </w:rPr>
        <w:tab/>
      </w:r>
      <w:r>
        <w:rPr>
          <w:rFonts w:cs="Verdana"/>
          <w:color w:val="262626"/>
        </w:rPr>
        <w:tab/>
      </w:r>
      <w:r>
        <w:rPr>
          <w:rFonts w:cs="Verdana"/>
          <w:color w:val="262626"/>
        </w:rPr>
        <w:tab/>
        <w:t xml:space="preserve">     </w:t>
      </w:r>
      <w:r w:rsidR="0015653D">
        <w:rPr>
          <w:rFonts w:cs="Verdana"/>
          <w:color w:val="262626"/>
        </w:rPr>
        <w:t xml:space="preserve">          </w:t>
      </w:r>
      <w:r>
        <w:rPr>
          <w:rFonts w:cs="Verdana"/>
          <w:color w:val="262626"/>
          <w:sz w:val="16"/>
          <w:szCs w:val="16"/>
        </w:rPr>
        <w:t>Source: SunS</w:t>
      </w:r>
      <w:r w:rsidRPr="000F78AA">
        <w:rPr>
          <w:rFonts w:cs="Verdana"/>
          <w:color w:val="262626"/>
          <w:sz w:val="16"/>
          <w:szCs w:val="16"/>
        </w:rPr>
        <w:t>pec Alliance 2014</w:t>
      </w:r>
    </w:p>
    <w:p w14:paraId="3BB5E961" w14:textId="77777777" w:rsidR="000F78AA" w:rsidRPr="000F78AA" w:rsidRDefault="000F78AA" w:rsidP="00091A2E">
      <w:pPr>
        <w:widowControl w:val="0"/>
        <w:autoSpaceDE w:val="0"/>
        <w:autoSpaceDN w:val="0"/>
        <w:adjustRightInd w:val="0"/>
        <w:rPr>
          <w:rFonts w:cs="Verdana"/>
          <w:color w:val="262626"/>
          <w:sz w:val="16"/>
          <w:szCs w:val="16"/>
        </w:rPr>
      </w:pPr>
    </w:p>
    <w:p w14:paraId="3D43F8AC" w14:textId="77777777" w:rsidR="000F78AA" w:rsidRDefault="000F78AA" w:rsidP="00F91BAE">
      <w:pPr>
        <w:widowControl w:val="0"/>
        <w:autoSpaceDE w:val="0"/>
        <w:autoSpaceDN w:val="0"/>
        <w:adjustRightInd w:val="0"/>
        <w:rPr>
          <w:rFonts w:cs="Verdana"/>
          <w:color w:val="262626"/>
        </w:rPr>
      </w:pPr>
    </w:p>
    <w:p w14:paraId="763E7398" w14:textId="16E5B9DD" w:rsidR="008A1DBC" w:rsidRDefault="006F4265" w:rsidP="00F91BAE">
      <w:pPr>
        <w:widowControl w:val="0"/>
        <w:autoSpaceDE w:val="0"/>
        <w:autoSpaceDN w:val="0"/>
        <w:adjustRightInd w:val="0"/>
        <w:rPr>
          <w:rFonts w:cs="Verdana"/>
          <w:color w:val="262626"/>
        </w:rPr>
      </w:pPr>
      <w:r>
        <w:rPr>
          <w:rFonts w:cs="Verdana"/>
          <w:color w:val="262626"/>
        </w:rPr>
        <w:t xml:space="preserve">GTM Research estimates that the US will see 318 megawatts of “behind-the-meter” (customer) solar and storage from now through 2018.  The major US markets are developing in California the Northeast, and Hawaii.  The State of California has mandated 1.3 gigawatts by 2020.  </w:t>
      </w:r>
      <w:r w:rsidR="003F1BD0">
        <w:rPr>
          <w:rFonts w:cs="Verdana"/>
          <w:color w:val="262626"/>
        </w:rPr>
        <w:t>In the wake of hurricane Sandy</w:t>
      </w:r>
      <w:r w:rsidR="00C8237C">
        <w:rPr>
          <w:rFonts w:cs="Verdana"/>
          <w:color w:val="262626"/>
        </w:rPr>
        <w:t xml:space="preserve"> (and increased for electric grid resiliency)</w:t>
      </w:r>
      <w:r w:rsidR="003F1BD0">
        <w:rPr>
          <w:rFonts w:cs="Verdana"/>
          <w:color w:val="262626"/>
        </w:rPr>
        <w:t xml:space="preserve">, </w:t>
      </w:r>
      <w:r w:rsidR="00C8237C">
        <w:rPr>
          <w:rFonts w:cs="Verdana"/>
          <w:color w:val="262626"/>
        </w:rPr>
        <w:t>New York, Connecticut, New Jersey and Massachusetts has launched state initiates, which could be valued at hundreds of millions of dollars of storage investment.</w:t>
      </w:r>
      <w:r w:rsidR="00B0232B">
        <w:rPr>
          <w:rStyle w:val="FootnoteReference"/>
          <w:rFonts w:cs="Verdana"/>
          <w:color w:val="262626"/>
        </w:rPr>
        <w:footnoteReference w:id="43"/>
      </w:r>
      <w:r w:rsidR="00C8237C">
        <w:rPr>
          <w:rFonts w:cs="Verdana"/>
          <w:color w:val="262626"/>
        </w:rPr>
        <w:t xml:space="preserve">  </w:t>
      </w:r>
    </w:p>
    <w:p w14:paraId="1DED422E" w14:textId="77777777" w:rsidR="00C8237C" w:rsidRDefault="00C8237C" w:rsidP="00F91BAE">
      <w:pPr>
        <w:widowControl w:val="0"/>
        <w:autoSpaceDE w:val="0"/>
        <w:autoSpaceDN w:val="0"/>
        <w:adjustRightInd w:val="0"/>
        <w:rPr>
          <w:rFonts w:cs="Verdana"/>
          <w:color w:val="262626"/>
        </w:rPr>
      </w:pPr>
    </w:p>
    <w:p w14:paraId="435A2F5D" w14:textId="5C5263B3" w:rsidR="00C8237C" w:rsidRDefault="00C8237C" w:rsidP="00F91BAE">
      <w:pPr>
        <w:widowControl w:val="0"/>
        <w:autoSpaceDE w:val="0"/>
        <w:autoSpaceDN w:val="0"/>
        <w:adjustRightInd w:val="0"/>
        <w:rPr>
          <w:rFonts w:cs="Verdana"/>
          <w:color w:val="262626"/>
        </w:rPr>
      </w:pPr>
      <w:r>
        <w:rPr>
          <w:rFonts w:cs="Verdana"/>
          <w:color w:val="262626"/>
        </w:rPr>
        <w:t xml:space="preserve">Tesla Motors gigawatt (net zero energy) battery factory in Reno will double current global lithium-ion battery production.  Tesla intends to manufacture 500,000 </w:t>
      </w:r>
      <w:r w:rsidR="00B0232B">
        <w:rPr>
          <w:rFonts w:cs="Verdana"/>
          <w:color w:val="262626"/>
        </w:rPr>
        <w:t xml:space="preserve">cars </w:t>
      </w:r>
      <w:r>
        <w:rPr>
          <w:rFonts w:cs="Verdana"/>
          <w:color w:val="262626"/>
        </w:rPr>
        <w:t>per year by 2020.</w:t>
      </w:r>
      <w:r w:rsidR="00322AB9">
        <w:rPr>
          <w:rStyle w:val="FootnoteReference"/>
          <w:rFonts w:cs="Verdana"/>
          <w:color w:val="262626"/>
        </w:rPr>
        <w:footnoteReference w:id="44"/>
      </w:r>
    </w:p>
    <w:p w14:paraId="29DDD542" w14:textId="72AE1D01" w:rsidR="00C8237C" w:rsidRDefault="00C8237C" w:rsidP="00F91BAE">
      <w:pPr>
        <w:widowControl w:val="0"/>
        <w:autoSpaceDE w:val="0"/>
        <w:autoSpaceDN w:val="0"/>
        <w:adjustRightInd w:val="0"/>
        <w:rPr>
          <w:rFonts w:cs="Verdana"/>
          <w:color w:val="262626"/>
        </w:rPr>
      </w:pPr>
    </w:p>
    <w:p w14:paraId="38D6B35D" w14:textId="77777777" w:rsidR="00314E5C" w:rsidRDefault="004E68A8" w:rsidP="00314E5C">
      <w:pPr>
        <w:widowControl w:val="0"/>
        <w:autoSpaceDE w:val="0"/>
        <w:autoSpaceDN w:val="0"/>
        <w:adjustRightInd w:val="0"/>
        <w:ind w:left="720"/>
        <w:rPr>
          <w:rFonts w:cs="Verdana"/>
          <w:color w:val="262626"/>
        </w:rPr>
      </w:pPr>
      <w:r>
        <w:rPr>
          <w:rFonts w:cs="Verdana"/>
          <w:color w:val="262626"/>
        </w:rPr>
        <w:t xml:space="preserve">                                   </w:t>
      </w:r>
    </w:p>
    <w:p w14:paraId="4531A5A7" w14:textId="77777777" w:rsidR="00314E5C" w:rsidRDefault="00314E5C" w:rsidP="00314E5C">
      <w:pPr>
        <w:widowControl w:val="0"/>
        <w:autoSpaceDE w:val="0"/>
        <w:autoSpaceDN w:val="0"/>
        <w:adjustRightInd w:val="0"/>
        <w:rPr>
          <w:rFonts w:cs="Verdana"/>
          <w:color w:val="262626"/>
        </w:rPr>
      </w:pPr>
    </w:p>
    <w:p w14:paraId="3F6041E6" w14:textId="366AB33F" w:rsidR="00C8237C" w:rsidRPr="00314E5C" w:rsidRDefault="00314E5C" w:rsidP="00314E5C">
      <w:pPr>
        <w:widowControl w:val="0"/>
        <w:autoSpaceDE w:val="0"/>
        <w:autoSpaceDN w:val="0"/>
        <w:adjustRightInd w:val="0"/>
        <w:ind w:firstLine="720"/>
        <w:rPr>
          <w:rFonts w:cs="Verdana"/>
          <w:color w:val="262626"/>
          <w:sz w:val="16"/>
          <w:szCs w:val="16"/>
        </w:rPr>
      </w:pPr>
      <w:r>
        <w:rPr>
          <w:rFonts w:cs="Verdana"/>
          <w:color w:val="262626"/>
          <w:sz w:val="16"/>
          <w:szCs w:val="16"/>
        </w:rPr>
        <w:t xml:space="preserve">                                             </w:t>
      </w:r>
      <w:r w:rsidR="004E68A8" w:rsidRPr="004E68A8">
        <w:rPr>
          <w:rFonts w:cs="Verdana"/>
          <w:color w:val="262626"/>
          <w:sz w:val="16"/>
          <w:szCs w:val="16"/>
        </w:rPr>
        <w:t>Source: Tesla Motors</w:t>
      </w:r>
    </w:p>
    <w:p w14:paraId="6ACCF2D0" w14:textId="6D1D709C" w:rsidR="00C8237C" w:rsidRDefault="00314E5C" w:rsidP="00F91BAE">
      <w:pPr>
        <w:widowControl w:val="0"/>
        <w:autoSpaceDE w:val="0"/>
        <w:autoSpaceDN w:val="0"/>
        <w:adjustRightInd w:val="0"/>
        <w:rPr>
          <w:rFonts w:cs="Verdana"/>
          <w:color w:val="262626"/>
        </w:rPr>
      </w:pPr>
      <w:r>
        <w:rPr>
          <w:rFonts w:ascii="Helvetica" w:hAnsi="Helvetica" w:cs="Helvetica"/>
          <w:noProof/>
        </w:rPr>
        <w:drawing>
          <wp:anchor distT="0" distB="0" distL="114300" distR="114300" simplePos="0" relativeHeight="251659264" behindDoc="0" locked="0" layoutInCell="1" allowOverlap="1" wp14:anchorId="284B0D62" wp14:editId="1726612D">
            <wp:simplePos x="0" y="0"/>
            <wp:positionH relativeFrom="column">
              <wp:posOffset>914400</wp:posOffset>
            </wp:positionH>
            <wp:positionV relativeFrom="paragraph">
              <wp:posOffset>45085</wp:posOffset>
            </wp:positionV>
            <wp:extent cx="2286000" cy="1720850"/>
            <wp:effectExtent l="0" t="0" r="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1720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D7E769" w14:textId="763868E8" w:rsidR="00C8237C" w:rsidRDefault="00C8237C" w:rsidP="00F91BAE">
      <w:pPr>
        <w:widowControl w:val="0"/>
        <w:autoSpaceDE w:val="0"/>
        <w:autoSpaceDN w:val="0"/>
        <w:adjustRightInd w:val="0"/>
        <w:rPr>
          <w:rFonts w:cs="Verdana"/>
          <w:color w:val="262626"/>
        </w:rPr>
      </w:pPr>
    </w:p>
    <w:p w14:paraId="7D2E76E7" w14:textId="77777777" w:rsidR="00C8237C" w:rsidRDefault="00C8237C" w:rsidP="00F91BAE">
      <w:pPr>
        <w:widowControl w:val="0"/>
        <w:autoSpaceDE w:val="0"/>
        <w:autoSpaceDN w:val="0"/>
        <w:adjustRightInd w:val="0"/>
        <w:rPr>
          <w:rFonts w:cs="Verdana"/>
          <w:color w:val="262626"/>
        </w:rPr>
      </w:pPr>
    </w:p>
    <w:p w14:paraId="54E573F8" w14:textId="77777777" w:rsidR="008A1DBC" w:rsidRDefault="008A1DBC" w:rsidP="00F91BAE">
      <w:pPr>
        <w:widowControl w:val="0"/>
        <w:autoSpaceDE w:val="0"/>
        <w:autoSpaceDN w:val="0"/>
        <w:adjustRightInd w:val="0"/>
        <w:rPr>
          <w:rFonts w:cs="Verdana"/>
          <w:color w:val="262626"/>
        </w:rPr>
      </w:pPr>
    </w:p>
    <w:p w14:paraId="212010B0" w14:textId="77777777" w:rsidR="00D066E2" w:rsidRPr="00D066E2" w:rsidRDefault="00D066E2" w:rsidP="00F91BAE">
      <w:pPr>
        <w:widowControl w:val="0"/>
        <w:autoSpaceDE w:val="0"/>
        <w:autoSpaceDN w:val="0"/>
        <w:adjustRightInd w:val="0"/>
        <w:rPr>
          <w:rFonts w:cs="Verdana"/>
          <w:color w:val="262626"/>
        </w:rPr>
      </w:pPr>
    </w:p>
    <w:p w14:paraId="3FC90EA7" w14:textId="77777777" w:rsidR="00CB24D2" w:rsidRPr="00CB24D2" w:rsidRDefault="00CB24D2" w:rsidP="00F91BAE">
      <w:pPr>
        <w:widowControl w:val="0"/>
        <w:autoSpaceDE w:val="0"/>
        <w:autoSpaceDN w:val="0"/>
        <w:adjustRightInd w:val="0"/>
        <w:rPr>
          <w:rFonts w:cs="Verdana"/>
          <w:color w:val="262626"/>
        </w:rPr>
      </w:pPr>
    </w:p>
    <w:p w14:paraId="20D94A1C" w14:textId="68335D92" w:rsidR="000F4D88" w:rsidRPr="00C8237C" w:rsidRDefault="00C8237C" w:rsidP="00F91BAE">
      <w:pPr>
        <w:widowControl w:val="0"/>
        <w:autoSpaceDE w:val="0"/>
        <w:autoSpaceDN w:val="0"/>
        <w:adjustRightInd w:val="0"/>
        <w:rPr>
          <w:rFonts w:cs="Verdana"/>
          <w:color w:val="262626"/>
        </w:rPr>
      </w:pPr>
      <w:r>
        <w:rPr>
          <w:rFonts w:cs="Verdana"/>
          <w:color w:val="262626"/>
        </w:rPr>
        <w:t xml:space="preserve">                        </w:t>
      </w:r>
    </w:p>
    <w:p w14:paraId="4AAC2136" w14:textId="77777777" w:rsidR="00C8237C" w:rsidRDefault="00C8237C" w:rsidP="00F91BAE">
      <w:pPr>
        <w:widowControl w:val="0"/>
        <w:autoSpaceDE w:val="0"/>
        <w:autoSpaceDN w:val="0"/>
        <w:adjustRightInd w:val="0"/>
        <w:rPr>
          <w:rFonts w:cs="Verdana"/>
          <w:color w:val="262626"/>
        </w:rPr>
      </w:pPr>
      <w:r>
        <w:rPr>
          <w:rFonts w:cs="Verdana"/>
          <w:color w:val="262626"/>
        </w:rPr>
        <w:tab/>
      </w:r>
    </w:p>
    <w:p w14:paraId="32B90FA0" w14:textId="77777777" w:rsidR="004E68A8" w:rsidRDefault="00C8237C" w:rsidP="00F91BAE">
      <w:pPr>
        <w:widowControl w:val="0"/>
        <w:autoSpaceDE w:val="0"/>
        <w:autoSpaceDN w:val="0"/>
        <w:adjustRightInd w:val="0"/>
        <w:rPr>
          <w:rFonts w:cs="Verdana"/>
          <w:color w:val="262626"/>
        </w:rPr>
      </w:pPr>
      <w:r>
        <w:rPr>
          <w:rFonts w:cs="Verdana"/>
          <w:color w:val="262626"/>
        </w:rPr>
        <w:t xml:space="preserve">      </w:t>
      </w:r>
    </w:p>
    <w:p w14:paraId="26CE82A4" w14:textId="77777777" w:rsidR="00314E5C" w:rsidRDefault="00314E5C" w:rsidP="00F91BAE">
      <w:pPr>
        <w:widowControl w:val="0"/>
        <w:autoSpaceDE w:val="0"/>
        <w:autoSpaceDN w:val="0"/>
        <w:adjustRightInd w:val="0"/>
        <w:rPr>
          <w:rFonts w:cs="Verdana"/>
          <w:b/>
          <w:i/>
          <w:color w:val="262626"/>
        </w:rPr>
      </w:pPr>
    </w:p>
    <w:p w14:paraId="5B76A22C" w14:textId="77777777" w:rsidR="00314E5C" w:rsidRDefault="00314E5C" w:rsidP="00F91BAE">
      <w:pPr>
        <w:widowControl w:val="0"/>
        <w:autoSpaceDE w:val="0"/>
        <w:autoSpaceDN w:val="0"/>
        <w:adjustRightInd w:val="0"/>
        <w:rPr>
          <w:rFonts w:cs="Verdana"/>
          <w:b/>
          <w:i/>
          <w:color w:val="262626"/>
        </w:rPr>
      </w:pPr>
    </w:p>
    <w:p w14:paraId="182C0A8B" w14:textId="77777777" w:rsidR="00314E5C" w:rsidRPr="00B52C7D" w:rsidRDefault="00314E5C" w:rsidP="00F91BAE">
      <w:pPr>
        <w:widowControl w:val="0"/>
        <w:autoSpaceDE w:val="0"/>
        <w:autoSpaceDN w:val="0"/>
        <w:adjustRightInd w:val="0"/>
        <w:rPr>
          <w:rFonts w:cs="Verdana"/>
          <w:color w:val="262626"/>
        </w:rPr>
      </w:pPr>
    </w:p>
    <w:p w14:paraId="2B1D6F01" w14:textId="61C9F295" w:rsidR="0083192F" w:rsidRPr="00B52C7D" w:rsidRDefault="008D3198" w:rsidP="00F91BAE">
      <w:pPr>
        <w:widowControl w:val="0"/>
        <w:autoSpaceDE w:val="0"/>
        <w:autoSpaceDN w:val="0"/>
        <w:adjustRightInd w:val="0"/>
        <w:rPr>
          <w:rFonts w:cs="Verdana"/>
          <w:smallCaps/>
          <w:color w:val="262626"/>
        </w:rPr>
      </w:pPr>
      <w:r w:rsidRPr="00B52C7D">
        <w:rPr>
          <w:rFonts w:cs="Verdana"/>
          <w:smallCaps/>
          <w:color w:val="262626"/>
        </w:rPr>
        <w:t xml:space="preserve">Battery </w:t>
      </w:r>
      <w:r w:rsidR="00A221BD" w:rsidRPr="00B52C7D">
        <w:rPr>
          <w:rFonts w:cs="Verdana"/>
          <w:smallCaps/>
          <w:color w:val="262626"/>
        </w:rPr>
        <w:t>Technologies</w:t>
      </w:r>
    </w:p>
    <w:p w14:paraId="2338347C" w14:textId="2997E395" w:rsidR="0083192F" w:rsidRDefault="003665A9" w:rsidP="00F91BAE">
      <w:pPr>
        <w:widowControl w:val="0"/>
        <w:autoSpaceDE w:val="0"/>
        <w:autoSpaceDN w:val="0"/>
        <w:adjustRightInd w:val="0"/>
        <w:rPr>
          <w:rFonts w:cs="Verdana"/>
          <w:color w:val="262626"/>
        </w:rPr>
      </w:pPr>
      <w:r>
        <w:rPr>
          <w:rFonts w:cs="Verdana"/>
          <w:color w:val="262626"/>
        </w:rPr>
        <w:t>Researchers at Oakridge Lab demonstrated in 2013 a new lithium-ion battery using nano-technology to create a solid electrolyte that is much lighter and safer and will be able to store 5 to 10 times more energy.</w:t>
      </w:r>
    </w:p>
    <w:p w14:paraId="241A8CCA" w14:textId="77777777" w:rsidR="003665A9" w:rsidRDefault="003665A9" w:rsidP="00F91BAE">
      <w:pPr>
        <w:widowControl w:val="0"/>
        <w:autoSpaceDE w:val="0"/>
        <w:autoSpaceDN w:val="0"/>
        <w:adjustRightInd w:val="0"/>
        <w:rPr>
          <w:rFonts w:cs="Verdana"/>
          <w:color w:val="262626"/>
        </w:rPr>
      </w:pPr>
    </w:p>
    <w:p w14:paraId="4302A42E" w14:textId="1527C746" w:rsidR="003665A9" w:rsidRDefault="003665A9" w:rsidP="00F91BAE">
      <w:pPr>
        <w:widowControl w:val="0"/>
        <w:autoSpaceDE w:val="0"/>
        <w:autoSpaceDN w:val="0"/>
        <w:adjustRightInd w:val="0"/>
        <w:rPr>
          <w:rFonts w:cs="Verdana"/>
          <w:color w:val="262626"/>
        </w:rPr>
      </w:pPr>
      <w:r>
        <w:rPr>
          <w:rFonts w:cs="Verdana"/>
          <w:color w:val="262626"/>
        </w:rPr>
        <w:t xml:space="preserve">Flow batteries are entering the market.  Flow batteries are like a combined fuel cell and battery.  </w:t>
      </w:r>
      <w:r w:rsidR="00E04420">
        <w:rPr>
          <w:rFonts w:cs="Verdana"/>
          <w:color w:val="262626"/>
        </w:rPr>
        <w:t>One such technology is “Nanofl</w:t>
      </w:r>
      <w:r w:rsidR="008F6292">
        <w:rPr>
          <w:rFonts w:cs="Verdana"/>
          <w:color w:val="262626"/>
        </w:rPr>
        <w:t>ow Technology” incorporated by the small,</w:t>
      </w:r>
      <w:r w:rsidR="00E04420">
        <w:rPr>
          <w:rFonts w:cs="Verdana"/>
          <w:color w:val="262626"/>
        </w:rPr>
        <w:t xml:space="preserve"> German automaker </w:t>
      </w:r>
      <w:r w:rsidR="008F6292">
        <w:rPr>
          <w:rFonts w:cs="Verdana"/>
          <w:color w:val="262626"/>
        </w:rPr>
        <w:t xml:space="preserve">Quant </w:t>
      </w:r>
      <w:r w:rsidR="00E04420">
        <w:rPr>
          <w:rFonts w:cs="Verdana"/>
          <w:color w:val="262626"/>
        </w:rPr>
        <w:t>into an electric car. Now ready to be driven on EU roads (it passed safety inspections) but quite expensive, the battery stores energy essentially in salt water.  The car, the company says, can travel 373 miles prior to replacing/recharging the electrolyte, accelerate from 0 to 60 in 2.8 seconds, and reach speeds of over 200 miles per hour.  The battery has stationary applications as well.</w:t>
      </w:r>
      <w:r w:rsidR="008F6292">
        <w:rPr>
          <w:rStyle w:val="FootnoteReference"/>
          <w:rFonts w:cs="Verdana"/>
          <w:color w:val="262626"/>
        </w:rPr>
        <w:footnoteReference w:id="45"/>
      </w:r>
      <w:r w:rsidR="00E04420">
        <w:rPr>
          <w:rFonts w:cs="Verdana"/>
          <w:color w:val="262626"/>
        </w:rPr>
        <w:t xml:space="preserve">  </w:t>
      </w:r>
    </w:p>
    <w:p w14:paraId="3D18FE74" w14:textId="77777777" w:rsidR="00E04420" w:rsidRDefault="00E04420" w:rsidP="00F91BAE">
      <w:pPr>
        <w:widowControl w:val="0"/>
        <w:autoSpaceDE w:val="0"/>
        <w:autoSpaceDN w:val="0"/>
        <w:adjustRightInd w:val="0"/>
        <w:rPr>
          <w:rFonts w:cs="Verdana"/>
          <w:color w:val="262626"/>
        </w:rPr>
      </w:pPr>
    </w:p>
    <w:p w14:paraId="3DBB54A8" w14:textId="332745E1" w:rsidR="00E04420" w:rsidRDefault="008F6292" w:rsidP="00A546DC">
      <w:pPr>
        <w:widowControl w:val="0"/>
        <w:autoSpaceDE w:val="0"/>
        <w:autoSpaceDN w:val="0"/>
        <w:adjustRightInd w:val="0"/>
        <w:rPr>
          <w:rFonts w:cs="Verdana"/>
          <w:color w:val="262626"/>
        </w:rPr>
      </w:pPr>
      <w:r>
        <w:rPr>
          <w:rFonts w:cs="Verdana"/>
          <w:color w:val="262626"/>
        </w:rPr>
        <w:t>Here’s a description of the technology:</w:t>
      </w:r>
    </w:p>
    <w:p w14:paraId="57E3B5B7" w14:textId="77777777" w:rsidR="0015653D" w:rsidRDefault="00E04420" w:rsidP="0015653D">
      <w:pPr>
        <w:widowControl w:val="0"/>
        <w:autoSpaceDE w:val="0"/>
        <w:autoSpaceDN w:val="0"/>
        <w:adjustRightInd w:val="0"/>
        <w:rPr>
          <w:rFonts w:cs="Verdana"/>
          <w:color w:val="262626"/>
        </w:rPr>
      </w:pPr>
      <w:r>
        <w:rPr>
          <w:rFonts w:cs="Verdana"/>
          <w:color w:val="262626"/>
        </w:rPr>
        <w:t>“</w:t>
      </w:r>
      <w:r w:rsidRPr="00E04420">
        <w:rPr>
          <w:rFonts w:cs="PT Sans"/>
          <w:color w:val="3B3939"/>
        </w:rPr>
        <w:t>The system works in a similar way to a hydrogen fuel cell, except for the fact that salt water is used for storing power. In particular, two liquids with metallic salts, which act as the electrolyte, are combined in such a way that the electrochemical reaction takes place. After that, electric motors use this reaction to generate electricity, which is then stored and distributed by super capacitors. The efficiency of this system reaches 80%, since the car has almost no moving parts in it, and the produced waste heat is insignificant in comparison with cars p</w:t>
      </w:r>
      <w:r>
        <w:rPr>
          <w:rFonts w:cs="PT Sans"/>
          <w:color w:val="3B3939"/>
        </w:rPr>
        <w:t>owered by lithium-ion batteries.”</w:t>
      </w:r>
      <w:r w:rsidR="008F6292">
        <w:rPr>
          <w:rStyle w:val="FootnoteReference"/>
          <w:rFonts w:cs="PT Sans"/>
          <w:color w:val="3B3939"/>
        </w:rPr>
        <w:footnoteReference w:id="46"/>
      </w:r>
      <w:r w:rsidR="007F7D4A">
        <w:rPr>
          <w:rFonts w:cs="Verdana"/>
          <w:color w:val="262626"/>
        </w:rPr>
        <w:t xml:space="preserve"> </w:t>
      </w:r>
    </w:p>
    <w:p w14:paraId="055B2493" w14:textId="77777777" w:rsidR="0015653D" w:rsidRDefault="0015653D" w:rsidP="0015653D">
      <w:pPr>
        <w:widowControl w:val="0"/>
        <w:autoSpaceDE w:val="0"/>
        <w:autoSpaceDN w:val="0"/>
        <w:adjustRightInd w:val="0"/>
        <w:rPr>
          <w:rFonts w:cs="Verdana"/>
          <w:color w:val="262626"/>
        </w:rPr>
      </w:pPr>
    </w:p>
    <w:p w14:paraId="192C1F16" w14:textId="55BF1E06" w:rsidR="00CA612F" w:rsidRDefault="00DC32B6" w:rsidP="0015653D">
      <w:pPr>
        <w:widowControl w:val="0"/>
        <w:autoSpaceDE w:val="0"/>
        <w:autoSpaceDN w:val="0"/>
        <w:adjustRightInd w:val="0"/>
        <w:rPr>
          <w:rFonts w:cs="Verdana"/>
          <w:color w:val="262626"/>
        </w:rPr>
      </w:pPr>
      <w:r>
        <w:rPr>
          <w:rFonts w:cs="Verdana"/>
          <w:color w:val="262626"/>
        </w:rPr>
        <w:t xml:space="preserve">Other technologies being developed or entering the market are sodium-ion batteries and liquid metal batteries.  Sodium-ion batteries are based on sodium salts are much more readily available than lithium salts.  The idea is that they could be ultimately cheaper to manufacture.  </w:t>
      </w:r>
      <w:r w:rsidR="00523442">
        <w:rPr>
          <w:rFonts w:cs="Verdana"/>
          <w:color w:val="262626"/>
        </w:rPr>
        <w:t>In 2014, Aquion (a battery company) brought to the mark</w:t>
      </w:r>
      <w:r w:rsidR="000F78AA">
        <w:rPr>
          <w:rFonts w:cs="Verdana"/>
          <w:color w:val="262626"/>
        </w:rPr>
        <w:t>et a sodium-ion based battery at</w:t>
      </w:r>
      <w:r w:rsidR="00523442">
        <w:rPr>
          <w:rFonts w:cs="Verdana"/>
          <w:color w:val="262626"/>
        </w:rPr>
        <w:t xml:space="preserve"> a cost comparable to a lead acid battery to be used as backup power in microgrid designs.</w:t>
      </w:r>
      <w:r w:rsidR="0047038D">
        <w:rPr>
          <w:rStyle w:val="FootnoteReference"/>
          <w:rFonts w:cs="Verdana"/>
          <w:color w:val="262626"/>
        </w:rPr>
        <w:footnoteReference w:id="47"/>
      </w:r>
      <w:r w:rsidR="00523442">
        <w:rPr>
          <w:rFonts w:cs="Verdana"/>
          <w:color w:val="262626"/>
        </w:rPr>
        <w:t xml:space="preserve">  Liquid metal batteries us</w:t>
      </w:r>
      <w:r w:rsidR="0047038D">
        <w:rPr>
          <w:rFonts w:cs="Verdana"/>
          <w:color w:val="262626"/>
        </w:rPr>
        <w:t>e liquid positive and negative electrodes</w:t>
      </w:r>
      <w:r w:rsidR="00523442">
        <w:rPr>
          <w:rFonts w:cs="Verdana"/>
          <w:color w:val="262626"/>
        </w:rPr>
        <w:t>.  Their strength is that they are considered very durable and can hold 85% of their charge after a decade of cycling on the grid</w:t>
      </w:r>
      <w:r w:rsidR="0047038D">
        <w:rPr>
          <w:rFonts w:cs="Verdana"/>
          <w:color w:val="262626"/>
        </w:rPr>
        <w:t xml:space="preserve"> in backing up variable wind and solar PV</w:t>
      </w:r>
      <w:r w:rsidR="00523442">
        <w:rPr>
          <w:rFonts w:cs="Verdana"/>
          <w:color w:val="262626"/>
        </w:rPr>
        <w:t xml:space="preserve">.  However, others </w:t>
      </w:r>
      <w:r w:rsidR="0047038D">
        <w:rPr>
          <w:rFonts w:cs="Verdana"/>
          <w:color w:val="262626"/>
        </w:rPr>
        <w:t>believe lithium-ion batteries will continue to dominate.</w:t>
      </w:r>
      <w:r w:rsidR="0047038D">
        <w:rPr>
          <w:rStyle w:val="FootnoteReference"/>
          <w:rFonts w:cs="Verdana"/>
          <w:color w:val="262626"/>
        </w:rPr>
        <w:footnoteReference w:id="48"/>
      </w:r>
    </w:p>
    <w:p w14:paraId="2ED7CA68" w14:textId="77777777" w:rsidR="0015653D" w:rsidRDefault="0015653D" w:rsidP="0015653D">
      <w:pPr>
        <w:widowControl w:val="0"/>
        <w:autoSpaceDE w:val="0"/>
        <w:autoSpaceDN w:val="0"/>
        <w:adjustRightInd w:val="0"/>
        <w:rPr>
          <w:rFonts w:cs="Verdana"/>
          <w:color w:val="262626"/>
        </w:rPr>
      </w:pPr>
    </w:p>
    <w:p w14:paraId="79060BF1" w14:textId="15FF4862" w:rsidR="00315FFB" w:rsidRDefault="00CA612F" w:rsidP="00A546DC">
      <w:pPr>
        <w:widowControl w:val="0"/>
        <w:autoSpaceDE w:val="0"/>
        <w:autoSpaceDN w:val="0"/>
        <w:adjustRightInd w:val="0"/>
        <w:spacing w:after="100" w:afterAutospacing="1"/>
        <w:rPr>
          <w:rFonts w:cs="Verdana"/>
          <w:color w:val="262626"/>
        </w:rPr>
      </w:pPr>
      <w:r>
        <w:rPr>
          <w:rFonts w:cs="Verdana"/>
          <w:color w:val="262626"/>
        </w:rPr>
        <w:t>EOS, another battery company, has developed a zinc hybrid cathode battery over the last decade.  It plans to offer them on the market for $200/kWh to $250/kWh.</w:t>
      </w:r>
      <w:r>
        <w:rPr>
          <w:rStyle w:val="FootnoteReference"/>
          <w:rFonts w:cs="Verdana"/>
          <w:color w:val="262626"/>
        </w:rPr>
        <w:footnoteReference w:id="49"/>
      </w:r>
      <w:r>
        <w:rPr>
          <w:rFonts w:cs="Verdana"/>
          <w:color w:val="262626"/>
        </w:rPr>
        <w:t xml:space="preserve">  They could be used to replace natural-gas fired plants on the grid, to smooth variable generation</w:t>
      </w:r>
      <w:r w:rsidR="000F78AA">
        <w:rPr>
          <w:rFonts w:cs="Verdana"/>
          <w:color w:val="262626"/>
        </w:rPr>
        <w:t>,</w:t>
      </w:r>
      <w:r>
        <w:rPr>
          <w:rFonts w:cs="Verdana"/>
          <w:color w:val="262626"/>
        </w:rPr>
        <w:t xml:space="preserve"> or in electric cars.</w:t>
      </w:r>
      <w:r>
        <w:rPr>
          <w:rStyle w:val="FootnoteReference"/>
          <w:rFonts w:cs="Verdana"/>
          <w:color w:val="262626"/>
        </w:rPr>
        <w:footnoteReference w:id="50"/>
      </w:r>
    </w:p>
    <w:p w14:paraId="58138307" w14:textId="3F50B374" w:rsidR="00A546DC" w:rsidRPr="00AC73E6" w:rsidRDefault="00A546DC" w:rsidP="00A546DC">
      <w:pPr>
        <w:widowControl w:val="0"/>
        <w:autoSpaceDE w:val="0"/>
        <w:autoSpaceDN w:val="0"/>
        <w:adjustRightInd w:val="0"/>
        <w:rPr>
          <w:rFonts w:cs="Verdana"/>
          <w:b/>
          <w:i/>
          <w:color w:val="262626"/>
        </w:rPr>
      </w:pPr>
      <w:r w:rsidRPr="00AC73E6">
        <w:rPr>
          <w:rFonts w:cs="Verdana"/>
          <w:b/>
          <w:i/>
          <w:color w:val="262626"/>
        </w:rPr>
        <w:t>Compressed Air Storage Market and Technology</w:t>
      </w:r>
    </w:p>
    <w:p w14:paraId="3CBC6DA9" w14:textId="72D68C1E" w:rsidR="00A546DC" w:rsidRDefault="00AA0C55" w:rsidP="00A546DC">
      <w:pPr>
        <w:widowControl w:val="0"/>
        <w:autoSpaceDE w:val="0"/>
        <w:autoSpaceDN w:val="0"/>
        <w:adjustRightInd w:val="0"/>
        <w:rPr>
          <w:rFonts w:cs="Verdana"/>
          <w:color w:val="262626"/>
        </w:rPr>
      </w:pPr>
      <w:r>
        <w:rPr>
          <w:rFonts w:cs="Verdana"/>
          <w:color w:val="262626"/>
        </w:rPr>
        <w:t xml:space="preserve">The compressed air storage market is about to expand. No megawatt-scale compressed air storage facility has been built since 1991.  Traditionally, air was compressed underground and then released and mixed with natural gas, which greatly reduced the amount of natural gas required to run a turbine.  Now SustainX, a company that has been developing a new technology, is testing a 1.5 megawatt </w:t>
      </w:r>
      <w:r w:rsidR="00E51C61">
        <w:rPr>
          <w:rFonts w:cs="Verdana"/>
          <w:color w:val="262626"/>
        </w:rPr>
        <w:t xml:space="preserve">unit </w:t>
      </w:r>
      <w:r>
        <w:rPr>
          <w:rFonts w:cs="Verdana"/>
          <w:color w:val="262626"/>
        </w:rPr>
        <w:t xml:space="preserve">and considers it ready for commercialization.  Testing was to be completed by the end of 2014.  </w:t>
      </w:r>
      <w:r w:rsidR="005240FF">
        <w:rPr>
          <w:rFonts w:cs="Verdana"/>
          <w:color w:val="262626"/>
        </w:rPr>
        <w:t>The DOE helped to fund this demonstration and testing.</w:t>
      </w:r>
      <w:r w:rsidR="005240FF">
        <w:rPr>
          <w:rStyle w:val="FootnoteReference"/>
          <w:rFonts w:cs="Verdana"/>
          <w:color w:val="262626"/>
        </w:rPr>
        <w:footnoteReference w:id="51"/>
      </w:r>
    </w:p>
    <w:p w14:paraId="2D3AD018" w14:textId="77777777" w:rsidR="00E51C61" w:rsidRDefault="00E51C61" w:rsidP="00A546DC">
      <w:pPr>
        <w:widowControl w:val="0"/>
        <w:autoSpaceDE w:val="0"/>
        <w:autoSpaceDN w:val="0"/>
        <w:adjustRightInd w:val="0"/>
        <w:rPr>
          <w:rFonts w:cs="Verdana"/>
          <w:color w:val="262626"/>
        </w:rPr>
      </w:pPr>
    </w:p>
    <w:p w14:paraId="683DC128" w14:textId="2DCD155D" w:rsidR="00E51C61" w:rsidRDefault="00E51C61" w:rsidP="00A546DC">
      <w:pPr>
        <w:widowControl w:val="0"/>
        <w:autoSpaceDE w:val="0"/>
        <w:autoSpaceDN w:val="0"/>
        <w:adjustRightInd w:val="0"/>
        <w:rPr>
          <w:rFonts w:cs="Verdana"/>
          <w:color w:val="262626"/>
        </w:rPr>
      </w:pPr>
      <w:r>
        <w:rPr>
          <w:rFonts w:cs="Verdana"/>
          <w:color w:val="262626"/>
        </w:rPr>
        <w:t xml:space="preserve">  </w:t>
      </w:r>
      <w:r w:rsidR="00AC73E6">
        <w:rPr>
          <w:rFonts w:cs="Verdana"/>
          <w:color w:val="262626"/>
        </w:rPr>
        <w:tab/>
      </w:r>
      <w:r w:rsidR="00AC73E6">
        <w:rPr>
          <w:rFonts w:cs="Verdana"/>
          <w:color w:val="262626"/>
        </w:rPr>
        <w:tab/>
      </w:r>
      <w:r>
        <w:rPr>
          <w:rFonts w:cs="Verdana"/>
          <w:color w:val="262626"/>
        </w:rPr>
        <w:t>SustainX Isothermal Compressed Air Storage Unit</w:t>
      </w:r>
    </w:p>
    <w:p w14:paraId="444DF5E5" w14:textId="7DDF2F79" w:rsidR="00E51C61" w:rsidRDefault="00E51C61" w:rsidP="00AC73E6">
      <w:pPr>
        <w:widowControl w:val="0"/>
        <w:autoSpaceDE w:val="0"/>
        <w:autoSpaceDN w:val="0"/>
        <w:adjustRightInd w:val="0"/>
        <w:ind w:left="1440"/>
        <w:rPr>
          <w:rFonts w:cs="Verdana"/>
          <w:color w:val="262626"/>
        </w:rPr>
      </w:pPr>
      <w:r>
        <w:rPr>
          <w:rFonts w:ascii="Helvetica" w:hAnsi="Helvetica" w:cs="Helvetica"/>
          <w:noProof/>
        </w:rPr>
        <w:drawing>
          <wp:inline distT="0" distB="0" distL="0" distR="0" wp14:anchorId="762D3AA0" wp14:editId="136A95EB">
            <wp:extent cx="3314700" cy="138303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16239" cy="1383672"/>
                    </a:xfrm>
                    <a:prstGeom prst="rect">
                      <a:avLst/>
                    </a:prstGeom>
                    <a:noFill/>
                    <a:ln>
                      <a:noFill/>
                    </a:ln>
                  </pic:spPr>
                </pic:pic>
              </a:graphicData>
            </a:graphic>
          </wp:inline>
        </w:drawing>
      </w:r>
    </w:p>
    <w:p w14:paraId="072F39EB" w14:textId="77777777" w:rsidR="00E51C61" w:rsidRDefault="00E51C61" w:rsidP="00AC73E6">
      <w:pPr>
        <w:widowControl w:val="0"/>
        <w:autoSpaceDE w:val="0"/>
        <w:autoSpaceDN w:val="0"/>
        <w:adjustRightInd w:val="0"/>
        <w:ind w:left="720" w:firstLine="720"/>
        <w:rPr>
          <w:rFonts w:cs="Verdana"/>
          <w:color w:val="262626"/>
          <w:sz w:val="16"/>
          <w:szCs w:val="16"/>
        </w:rPr>
      </w:pPr>
      <w:r>
        <w:rPr>
          <w:rFonts w:cs="Verdana"/>
          <w:color w:val="262626"/>
        </w:rPr>
        <w:t xml:space="preserve"> </w:t>
      </w:r>
      <w:r w:rsidRPr="00124C38">
        <w:rPr>
          <w:rFonts w:cs="Verdana"/>
          <w:color w:val="262626"/>
          <w:sz w:val="16"/>
          <w:szCs w:val="16"/>
        </w:rPr>
        <w:t>Source: SustainX</w:t>
      </w:r>
    </w:p>
    <w:p w14:paraId="17B829D8" w14:textId="77777777" w:rsidR="000A6287" w:rsidRPr="00124C38" w:rsidRDefault="000A6287" w:rsidP="00E51C61">
      <w:pPr>
        <w:widowControl w:val="0"/>
        <w:autoSpaceDE w:val="0"/>
        <w:autoSpaceDN w:val="0"/>
        <w:adjustRightInd w:val="0"/>
        <w:rPr>
          <w:rFonts w:cs="Verdana"/>
          <w:color w:val="262626"/>
          <w:sz w:val="16"/>
          <w:szCs w:val="16"/>
        </w:rPr>
      </w:pPr>
    </w:p>
    <w:p w14:paraId="6F48A452" w14:textId="542A088D" w:rsidR="00AA0C55" w:rsidRDefault="00E51C61" w:rsidP="00A546DC">
      <w:pPr>
        <w:widowControl w:val="0"/>
        <w:autoSpaceDE w:val="0"/>
        <w:autoSpaceDN w:val="0"/>
        <w:adjustRightInd w:val="0"/>
        <w:rPr>
          <w:rFonts w:cs="Verdana"/>
          <w:color w:val="262626"/>
        </w:rPr>
      </w:pPr>
      <w:r>
        <w:rPr>
          <w:rFonts w:cs="Verdana"/>
          <w:color w:val="262626"/>
        </w:rPr>
        <w:t xml:space="preserve"> </w:t>
      </w:r>
      <w:r w:rsidR="00AA0C55">
        <w:rPr>
          <w:rFonts w:cs="Verdana"/>
          <w:color w:val="262626"/>
        </w:rPr>
        <w:t>The technology uses no fuel.  The company developed a trade secret foam that stores and exchanges heat and runs an engine.  The heat is stored in tanks that can be si</w:t>
      </w:r>
      <w:r w:rsidR="00124C38">
        <w:rPr>
          <w:rFonts w:cs="Verdana"/>
          <w:color w:val="262626"/>
        </w:rPr>
        <w:t xml:space="preserve">zed as appropriate </w:t>
      </w:r>
      <w:r>
        <w:rPr>
          <w:rFonts w:cs="Verdana"/>
          <w:color w:val="262626"/>
        </w:rPr>
        <w:t xml:space="preserve">(modular) </w:t>
      </w:r>
      <w:r w:rsidR="00124C38">
        <w:rPr>
          <w:rFonts w:cs="Verdana"/>
          <w:color w:val="262626"/>
        </w:rPr>
        <w:t>for a few to many hours of operation.</w:t>
      </w:r>
    </w:p>
    <w:p w14:paraId="456F35DC" w14:textId="77777777" w:rsidR="00E51C61" w:rsidRDefault="00E51C61" w:rsidP="00A546DC">
      <w:pPr>
        <w:widowControl w:val="0"/>
        <w:autoSpaceDE w:val="0"/>
        <w:autoSpaceDN w:val="0"/>
        <w:adjustRightInd w:val="0"/>
        <w:rPr>
          <w:rFonts w:cs="Verdana"/>
          <w:color w:val="262626"/>
        </w:rPr>
      </w:pPr>
      <w:r>
        <w:rPr>
          <w:rFonts w:cs="Verdana"/>
          <w:color w:val="262626"/>
        </w:rPr>
        <w:t>Navigant believes that the technology will ramp up globally to about 2,700 megawatts per year by 2023 and can serve multiple purposes on the grid.</w:t>
      </w:r>
    </w:p>
    <w:p w14:paraId="6ECE30F6" w14:textId="77777777" w:rsidR="00E51C61" w:rsidRDefault="00E51C61" w:rsidP="00A546DC">
      <w:pPr>
        <w:widowControl w:val="0"/>
        <w:autoSpaceDE w:val="0"/>
        <w:autoSpaceDN w:val="0"/>
        <w:adjustRightInd w:val="0"/>
        <w:rPr>
          <w:rFonts w:cs="Verdana"/>
          <w:color w:val="262626"/>
        </w:rPr>
      </w:pPr>
    </w:p>
    <w:p w14:paraId="4A0A70E4" w14:textId="77777777" w:rsidR="00E51C61" w:rsidRDefault="00E51C61" w:rsidP="00A546DC">
      <w:pPr>
        <w:widowControl w:val="0"/>
        <w:autoSpaceDE w:val="0"/>
        <w:autoSpaceDN w:val="0"/>
        <w:adjustRightInd w:val="0"/>
        <w:rPr>
          <w:rFonts w:cs="Verdana"/>
          <w:color w:val="262626"/>
        </w:rPr>
      </w:pPr>
      <w:r>
        <w:rPr>
          <w:noProof/>
        </w:rPr>
        <w:drawing>
          <wp:inline distT="0" distB="0" distL="0" distR="0" wp14:anchorId="6A3404DF" wp14:editId="1BC4F0CE">
            <wp:extent cx="3771900" cy="1840865"/>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2840" cy="1841324"/>
                    </a:xfrm>
                    <a:prstGeom prst="rect">
                      <a:avLst/>
                    </a:prstGeom>
                    <a:noFill/>
                    <a:ln>
                      <a:noFill/>
                    </a:ln>
                  </pic:spPr>
                </pic:pic>
              </a:graphicData>
            </a:graphic>
          </wp:inline>
        </w:drawing>
      </w:r>
    </w:p>
    <w:p w14:paraId="4AB2AAB9" w14:textId="6B96F1E5" w:rsidR="00124C38" w:rsidRDefault="00E51C61" w:rsidP="00A546DC">
      <w:pPr>
        <w:widowControl w:val="0"/>
        <w:autoSpaceDE w:val="0"/>
        <w:autoSpaceDN w:val="0"/>
        <w:adjustRightInd w:val="0"/>
        <w:rPr>
          <w:rFonts w:cs="Verdana"/>
          <w:color w:val="262626"/>
          <w:sz w:val="16"/>
          <w:szCs w:val="16"/>
        </w:rPr>
      </w:pPr>
      <w:r>
        <w:rPr>
          <w:b/>
          <w:bCs/>
          <w:sz w:val="18"/>
          <w:szCs w:val="18"/>
        </w:rPr>
        <w:t xml:space="preserve"> </w:t>
      </w:r>
      <w:r w:rsidR="00DF7257">
        <w:rPr>
          <w:b/>
          <w:bCs/>
          <w:sz w:val="18"/>
          <w:szCs w:val="18"/>
        </w:rPr>
        <w:t xml:space="preserve">  </w:t>
      </w:r>
      <w:r>
        <w:rPr>
          <w:b/>
          <w:bCs/>
          <w:sz w:val="18"/>
          <w:szCs w:val="18"/>
        </w:rPr>
        <w:t>Navigant Research’s forecast of global CAES applications by year</w:t>
      </w:r>
      <w:r w:rsidRPr="00E51C61">
        <w:rPr>
          <w:rFonts w:cs="Verdana"/>
          <w:color w:val="262626"/>
          <w:sz w:val="16"/>
          <w:szCs w:val="16"/>
        </w:rPr>
        <w:t xml:space="preserve"> (2013)</w:t>
      </w:r>
    </w:p>
    <w:p w14:paraId="6F5F2347" w14:textId="77777777" w:rsidR="00E51C61" w:rsidRDefault="00E51C61" w:rsidP="00A546DC">
      <w:pPr>
        <w:widowControl w:val="0"/>
        <w:autoSpaceDE w:val="0"/>
        <w:autoSpaceDN w:val="0"/>
        <w:adjustRightInd w:val="0"/>
        <w:rPr>
          <w:rFonts w:cs="Verdana"/>
          <w:color w:val="262626"/>
          <w:sz w:val="16"/>
          <w:szCs w:val="16"/>
        </w:rPr>
      </w:pPr>
    </w:p>
    <w:p w14:paraId="09643B5C" w14:textId="6545F81C" w:rsidR="00E96662" w:rsidRDefault="00E96662" w:rsidP="00A546DC">
      <w:pPr>
        <w:widowControl w:val="0"/>
        <w:autoSpaceDE w:val="0"/>
        <w:autoSpaceDN w:val="0"/>
        <w:adjustRightInd w:val="0"/>
        <w:rPr>
          <w:rFonts w:cs="Verdana"/>
          <w:b/>
          <w:i/>
          <w:color w:val="262626"/>
        </w:rPr>
      </w:pPr>
      <w:r w:rsidRPr="00E96662">
        <w:rPr>
          <w:rFonts w:cs="Verdana"/>
          <w:b/>
          <w:i/>
          <w:color w:val="262626"/>
        </w:rPr>
        <w:t>Flywheels Market and Technology</w:t>
      </w:r>
    </w:p>
    <w:p w14:paraId="484C3325" w14:textId="4074C2FB" w:rsidR="00E96662" w:rsidRDefault="001D0064" w:rsidP="00A546DC">
      <w:pPr>
        <w:widowControl w:val="0"/>
        <w:autoSpaceDE w:val="0"/>
        <w:autoSpaceDN w:val="0"/>
        <w:adjustRightInd w:val="0"/>
        <w:rPr>
          <w:rFonts w:cs="Verdana"/>
          <w:color w:val="262626"/>
        </w:rPr>
      </w:pPr>
      <w:r>
        <w:rPr>
          <w:rFonts w:cs="Verdana"/>
          <w:color w:val="262626"/>
        </w:rPr>
        <w:t>The flywheel market is in its infancy.</w:t>
      </w:r>
      <w:r w:rsidR="005240FF">
        <w:rPr>
          <w:rFonts w:cs="Verdana"/>
          <w:color w:val="262626"/>
        </w:rPr>
        <w:t xml:space="preserve">  A leader in this sector appears to be Beacon Power. </w:t>
      </w:r>
      <w:r w:rsidR="00D755FB">
        <w:rPr>
          <w:rFonts w:cs="Verdana"/>
          <w:color w:val="262626"/>
        </w:rPr>
        <w:t xml:space="preserve"> DOE assisted with demonstration dollars for this technology as well. </w:t>
      </w:r>
    </w:p>
    <w:p w14:paraId="18CAD4E1" w14:textId="77777777" w:rsidR="00DF7257" w:rsidRDefault="00DF7257" w:rsidP="00A546DC">
      <w:pPr>
        <w:widowControl w:val="0"/>
        <w:autoSpaceDE w:val="0"/>
        <w:autoSpaceDN w:val="0"/>
        <w:adjustRightInd w:val="0"/>
        <w:rPr>
          <w:rFonts w:cs="Verdana"/>
          <w:color w:val="262626"/>
        </w:rPr>
      </w:pPr>
    </w:p>
    <w:p w14:paraId="38558ACA" w14:textId="7842027F" w:rsidR="00DF7257" w:rsidRDefault="00C32F68" w:rsidP="00A546DC">
      <w:pPr>
        <w:widowControl w:val="0"/>
        <w:autoSpaceDE w:val="0"/>
        <w:autoSpaceDN w:val="0"/>
        <w:adjustRightInd w:val="0"/>
        <w:rPr>
          <w:rFonts w:cs="Verdana"/>
          <w:color w:val="262626"/>
        </w:rPr>
      </w:pPr>
      <w:r>
        <w:rPr>
          <w:rFonts w:cs="Verdana"/>
          <w:color w:val="262626"/>
        </w:rPr>
        <w:t>These are spinning batteries housed in a vacuum in “a near frictionless environment.”  They can charge and discharge up to 175,000 times and are modular, where facilities can be from 100 kilowatts to tens of megawatts in size.  They can be deployed for grid balancing purposes and in microgrid contexts.</w:t>
      </w:r>
      <w:r w:rsidR="00D93A69">
        <w:rPr>
          <w:rStyle w:val="FootnoteReference"/>
          <w:rFonts w:cs="Verdana"/>
          <w:color w:val="262626"/>
        </w:rPr>
        <w:footnoteReference w:id="52"/>
      </w:r>
      <w:r>
        <w:rPr>
          <w:rFonts w:cs="Verdana"/>
          <w:color w:val="262626"/>
        </w:rPr>
        <w:t xml:space="preserve"> They can discharge anywhere from seconds up to 15 minutes</w:t>
      </w:r>
      <w:r w:rsidR="001D0064">
        <w:rPr>
          <w:rFonts w:cs="Verdana"/>
          <w:color w:val="262626"/>
        </w:rPr>
        <w:t>, with a reaction time of milliseconds</w:t>
      </w:r>
      <w:r>
        <w:rPr>
          <w:rFonts w:cs="Verdana"/>
          <w:color w:val="262626"/>
        </w:rPr>
        <w:t>.</w:t>
      </w:r>
      <w:r w:rsidR="000C43E4">
        <w:rPr>
          <w:rStyle w:val="FootnoteReference"/>
          <w:rFonts w:cs="Verdana"/>
          <w:color w:val="262626"/>
        </w:rPr>
        <w:footnoteReference w:id="53"/>
      </w:r>
      <w:r>
        <w:rPr>
          <w:rFonts w:cs="Verdana"/>
          <w:color w:val="262626"/>
        </w:rPr>
        <w:t xml:space="preserve">  </w:t>
      </w:r>
    </w:p>
    <w:p w14:paraId="4EED2F95" w14:textId="77777777" w:rsidR="00C32F68" w:rsidRDefault="00C32F68" w:rsidP="00A546DC">
      <w:pPr>
        <w:widowControl w:val="0"/>
        <w:autoSpaceDE w:val="0"/>
        <w:autoSpaceDN w:val="0"/>
        <w:adjustRightInd w:val="0"/>
        <w:rPr>
          <w:rFonts w:cs="Verdana"/>
          <w:color w:val="262626"/>
        </w:rPr>
      </w:pPr>
    </w:p>
    <w:p w14:paraId="1C6FA520" w14:textId="640D2F22" w:rsidR="00C32F68" w:rsidRDefault="00C32F68" w:rsidP="00C32F68">
      <w:pPr>
        <w:widowControl w:val="0"/>
        <w:autoSpaceDE w:val="0"/>
        <w:autoSpaceDN w:val="0"/>
        <w:adjustRightInd w:val="0"/>
        <w:ind w:left="1440" w:firstLine="720"/>
        <w:rPr>
          <w:rFonts w:cs="Verdana"/>
          <w:color w:val="262626"/>
        </w:rPr>
      </w:pPr>
      <w:r>
        <w:rPr>
          <w:rFonts w:cs="Verdana"/>
          <w:color w:val="262626"/>
        </w:rPr>
        <w:t xml:space="preserve">        Beacon Power Flywheel</w:t>
      </w:r>
    </w:p>
    <w:p w14:paraId="52BCD0F9" w14:textId="486355BE" w:rsidR="00C32F68" w:rsidRPr="00E96662" w:rsidRDefault="00C32F68" w:rsidP="00C32F68">
      <w:pPr>
        <w:widowControl w:val="0"/>
        <w:autoSpaceDE w:val="0"/>
        <w:autoSpaceDN w:val="0"/>
        <w:adjustRightInd w:val="0"/>
        <w:ind w:left="2160"/>
        <w:rPr>
          <w:rFonts w:cs="Verdana"/>
          <w:color w:val="262626"/>
        </w:rPr>
      </w:pPr>
      <w:r>
        <w:rPr>
          <w:rFonts w:ascii="Helvetica" w:hAnsi="Helvetica" w:cs="Helvetica"/>
          <w:noProof/>
        </w:rPr>
        <w:drawing>
          <wp:inline distT="0" distB="0" distL="0" distR="0" wp14:anchorId="25DD3211" wp14:editId="0CD56045">
            <wp:extent cx="2171700" cy="1690005"/>
            <wp:effectExtent l="0" t="0" r="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2369" cy="1690526"/>
                    </a:xfrm>
                    <a:prstGeom prst="rect">
                      <a:avLst/>
                    </a:prstGeom>
                    <a:noFill/>
                    <a:ln>
                      <a:noFill/>
                    </a:ln>
                  </pic:spPr>
                </pic:pic>
              </a:graphicData>
            </a:graphic>
          </wp:inline>
        </w:drawing>
      </w:r>
    </w:p>
    <w:p w14:paraId="26C6675B" w14:textId="68D61E11" w:rsidR="00E51C61" w:rsidRDefault="00C32F68" w:rsidP="00C32F68">
      <w:pPr>
        <w:widowControl w:val="0"/>
        <w:autoSpaceDE w:val="0"/>
        <w:autoSpaceDN w:val="0"/>
        <w:adjustRightInd w:val="0"/>
        <w:ind w:left="2160"/>
        <w:rPr>
          <w:rFonts w:cs="Verdana"/>
          <w:color w:val="262626"/>
          <w:sz w:val="16"/>
          <w:szCs w:val="16"/>
        </w:rPr>
      </w:pPr>
      <w:r>
        <w:rPr>
          <w:rFonts w:cs="Verdana"/>
          <w:color w:val="262626"/>
          <w:sz w:val="16"/>
          <w:szCs w:val="16"/>
        </w:rPr>
        <w:t xml:space="preserve">      </w:t>
      </w:r>
      <w:r w:rsidRPr="00C32F68">
        <w:rPr>
          <w:rFonts w:cs="Verdana"/>
          <w:color w:val="262626"/>
          <w:sz w:val="16"/>
          <w:szCs w:val="16"/>
        </w:rPr>
        <w:t>Source: Beacon Power</w:t>
      </w:r>
    </w:p>
    <w:p w14:paraId="017A9BEB" w14:textId="2DD9ED5F" w:rsidR="00124C38" w:rsidRDefault="001D0064" w:rsidP="00A546DC">
      <w:pPr>
        <w:widowControl w:val="0"/>
        <w:autoSpaceDE w:val="0"/>
        <w:autoSpaceDN w:val="0"/>
        <w:adjustRightInd w:val="0"/>
        <w:rPr>
          <w:rFonts w:cs="Verdana"/>
          <w:color w:val="262626"/>
        </w:rPr>
      </w:pPr>
      <w:r>
        <w:rPr>
          <w:rFonts w:cs="Verdana"/>
          <w:color w:val="262626"/>
        </w:rPr>
        <w:t>Beacon has three facilities operating located in New York, Massachusetts and Pennsylvania.  In terms of cost, the 20-megawatt in Stephentown, New York came in at $69 million.</w:t>
      </w:r>
      <w:r w:rsidR="00EF2A3B">
        <w:rPr>
          <w:rStyle w:val="FootnoteReference"/>
          <w:rFonts w:cs="Verdana"/>
          <w:color w:val="262626"/>
        </w:rPr>
        <w:footnoteReference w:id="54"/>
      </w:r>
      <w:r>
        <w:rPr>
          <w:rFonts w:cs="Verdana"/>
          <w:color w:val="262626"/>
        </w:rPr>
        <w:t xml:space="preserve"> Beacon expects its next installation to be half the cost of current facilities.</w:t>
      </w:r>
      <w:r w:rsidR="00EF2A3B" w:rsidRPr="00EF2A3B">
        <w:rPr>
          <w:rStyle w:val="FootnoteReference"/>
          <w:rFonts w:cs="Verdana"/>
          <w:color w:val="262626"/>
        </w:rPr>
        <w:t xml:space="preserve"> </w:t>
      </w:r>
      <w:r w:rsidR="00EF2A3B">
        <w:rPr>
          <w:rStyle w:val="FootnoteReference"/>
          <w:rFonts w:cs="Verdana"/>
          <w:color w:val="262626"/>
        </w:rPr>
        <w:footnoteReference w:id="55"/>
      </w:r>
      <w:r w:rsidR="00EF2A3B">
        <w:rPr>
          <w:rFonts w:cs="Verdana"/>
          <w:color w:val="262626"/>
        </w:rPr>
        <w:t xml:space="preserve"> </w:t>
      </w:r>
      <w:r>
        <w:rPr>
          <w:rFonts w:cs="Verdana"/>
          <w:color w:val="262626"/>
        </w:rPr>
        <w:t xml:space="preserve"> </w:t>
      </w:r>
    </w:p>
    <w:p w14:paraId="6D817E37" w14:textId="77777777" w:rsidR="008F1078" w:rsidRDefault="008F1078" w:rsidP="00A546DC">
      <w:pPr>
        <w:widowControl w:val="0"/>
        <w:autoSpaceDE w:val="0"/>
        <w:autoSpaceDN w:val="0"/>
        <w:adjustRightInd w:val="0"/>
        <w:rPr>
          <w:rFonts w:cs="Verdana"/>
          <w:color w:val="262626"/>
        </w:rPr>
      </w:pPr>
    </w:p>
    <w:p w14:paraId="1BD3EA09" w14:textId="08D6858A" w:rsidR="008F1078" w:rsidRDefault="008F1078" w:rsidP="00A546DC">
      <w:pPr>
        <w:widowControl w:val="0"/>
        <w:autoSpaceDE w:val="0"/>
        <w:autoSpaceDN w:val="0"/>
        <w:adjustRightInd w:val="0"/>
        <w:rPr>
          <w:rFonts w:cs="Verdana"/>
          <w:b/>
          <w:i/>
          <w:color w:val="262626"/>
        </w:rPr>
      </w:pPr>
      <w:r w:rsidRPr="008F1078">
        <w:rPr>
          <w:rFonts w:cs="Verdana"/>
          <w:b/>
          <w:i/>
          <w:color w:val="262626"/>
        </w:rPr>
        <w:t>Ultracapacitor Market and Technology</w:t>
      </w:r>
    </w:p>
    <w:p w14:paraId="28CDA6B2" w14:textId="25930A2F" w:rsidR="008F1078" w:rsidRDefault="00E956BF" w:rsidP="00A546DC">
      <w:pPr>
        <w:widowControl w:val="0"/>
        <w:autoSpaceDE w:val="0"/>
        <w:autoSpaceDN w:val="0"/>
        <w:adjustRightInd w:val="0"/>
        <w:rPr>
          <w:rFonts w:cs="Verdana"/>
          <w:color w:val="262626"/>
        </w:rPr>
      </w:pPr>
      <w:r>
        <w:rPr>
          <w:rFonts w:cs="Verdana"/>
          <w:color w:val="262626"/>
        </w:rPr>
        <w:t xml:space="preserve">Ultracapacitors </w:t>
      </w:r>
      <w:r w:rsidR="00C86572">
        <w:rPr>
          <w:rFonts w:cs="Verdana"/>
          <w:color w:val="262626"/>
        </w:rPr>
        <w:t xml:space="preserve">are storage technologies that can be charged in seconds and can discharge for seconds to a few minutes.  </w:t>
      </w:r>
      <w:r w:rsidR="002D6515">
        <w:rPr>
          <w:rFonts w:cs="Verdana"/>
          <w:color w:val="262626"/>
        </w:rPr>
        <w:t xml:space="preserve">They can be used to firm variable output from wind and solar PV.  </w:t>
      </w:r>
      <w:r w:rsidR="00C216F1">
        <w:rPr>
          <w:rFonts w:cs="Verdana"/>
          <w:color w:val="262626"/>
        </w:rPr>
        <w:t>Their strength is that they can be charged and discharged millions of times.  The market is in its infancy for grid applications.</w:t>
      </w:r>
    </w:p>
    <w:p w14:paraId="199FE14D" w14:textId="77777777" w:rsidR="00C216F1" w:rsidRDefault="00C216F1" w:rsidP="00A546DC">
      <w:pPr>
        <w:widowControl w:val="0"/>
        <w:autoSpaceDE w:val="0"/>
        <w:autoSpaceDN w:val="0"/>
        <w:adjustRightInd w:val="0"/>
        <w:rPr>
          <w:rFonts w:cs="Verdana"/>
          <w:color w:val="262626"/>
        </w:rPr>
      </w:pPr>
    </w:p>
    <w:p w14:paraId="14FA844B" w14:textId="42EC4743" w:rsidR="00C216F1" w:rsidRDefault="00C216F1" w:rsidP="00A546DC">
      <w:pPr>
        <w:widowControl w:val="0"/>
        <w:autoSpaceDE w:val="0"/>
        <w:autoSpaceDN w:val="0"/>
        <w:adjustRightInd w:val="0"/>
        <w:rPr>
          <w:rFonts w:cs="Verdana"/>
          <w:color w:val="262626"/>
        </w:rPr>
      </w:pPr>
      <w:r>
        <w:rPr>
          <w:rFonts w:cs="Verdana"/>
          <w:color w:val="262626"/>
        </w:rPr>
        <w:t>Maxwell Technologies is testing a 28 kilowatt/</w:t>
      </w:r>
      <w:r w:rsidR="00716FE9">
        <w:rPr>
          <w:rFonts w:cs="Verdana"/>
          <w:color w:val="262626"/>
        </w:rPr>
        <w:t xml:space="preserve">15 minutes ultracapacitor </w:t>
      </w:r>
      <w:r>
        <w:rPr>
          <w:rFonts w:cs="Verdana"/>
          <w:color w:val="262626"/>
        </w:rPr>
        <w:t xml:space="preserve"> at the University of San Diego’s microgrid</w:t>
      </w:r>
      <w:r w:rsidR="00716FE9">
        <w:rPr>
          <w:rFonts w:cs="Verdana"/>
          <w:color w:val="262626"/>
        </w:rPr>
        <w:t>.</w:t>
      </w:r>
      <w:r w:rsidR="00716FE9">
        <w:rPr>
          <w:rStyle w:val="FootnoteReference"/>
          <w:rFonts w:cs="Verdana"/>
          <w:color w:val="262626"/>
        </w:rPr>
        <w:footnoteReference w:id="56"/>
      </w:r>
      <w:r w:rsidR="0038628F">
        <w:rPr>
          <w:rFonts w:cs="Verdana"/>
          <w:color w:val="262626"/>
        </w:rPr>
        <w:t xml:space="preserve"> </w:t>
      </w:r>
      <w:r>
        <w:rPr>
          <w:rFonts w:cs="Verdana"/>
          <w:color w:val="262626"/>
        </w:rPr>
        <w:t xml:space="preserve">  </w:t>
      </w:r>
    </w:p>
    <w:p w14:paraId="3BF138ED" w14:textId="77777777" w:rsidR="00716FE9" w:rsidRDefault="00716FE9" w:rsidP="00A546DC">
      <w:pPr>
        <w:widowControl w:val="0"/>
        <w:autoSpaceDE w:val="0"/>
        <w:autoSpaceDN w:val="0"/>
        <w:adjustRightInd w:val="0"/>
        <w:rPr>
          <w:rFonts w:cs="Verdana"/>
          <w:color w:val="262626"/>
        </w:rPr>
      </w:pPr>
    </w:p>
    <w:p w14:paraId="3021BABC" w14:textId="1D812781" w:rsidR="00716FE9" w:rsidRDefault="00716FE9" w:rsidP="00A546DC">
      <w:pPr>
        <w:widowControl w:val="0"/>
        <w:autoSpaceDE w:val="0"/>
        <w:autoSpaceDN w:val="0"/>
        <w:adjustRightInd w:val="0"/>
        <w:rPr>
          <w:rFonts w:cs="Verdana"/>
          <w:color w:val="262626"/>
        </w:rPr>
      </w:pPr>
      <w:r>
        <w:rPr>
          <w:rFonts w:cs="Verdana"/>
          <w:color w:val="262626"/>
        </w:rPr>
        <w:t>Navigant expects the advanced battery (ultracapacitors, and lithium sulfur, solid electrolyte, magnesium-ion and flow batteries) market to reach $9.4 billion.  In 2014 the market was worth $182 million.</w:t>
      </w:r>
      <w:r>
        <w:rPr>
          <w:rStyle w:val="FootnoteReference"/>
          <w:rFonts w:cs="Verdana"/>
          <w:color w:val="262626"/>
        </w:rPr>
        <w:footnoteReference w:id="57"/>
      </w:r>
    </w:p>
    <w:p w14:paraId="7D769C25" w14:textId="77777777" w:rsidR="0038628F" w:rsidRDefault="0038628F" w:rsidP="00A546DC">
      <w:pPr>
        <w:widowControl w:val="0"/>
        <w:autoSpaceDE w:val="0"/>
        <w:autoSpaceDN w:val="0"/>
        <w:adjustRightInd w:val="0"/>
        <w:rPr>
          <w:rFonts w:cs="Verdana"/>
          <w:color w:val="262626"/>
        </w:rPr>
      </w:pPr>
    </w:p>
    <w:p w14:paraId="464FBFB5" w14:textId="77777777" w:rsidR="008C07DF" w:rsidRDefault="008C07DF" w:rsidP="00A546DC">
      <w:pPr>
        <w:widowControl w:val="0"/>
        <w:autoSpaceDE w:val="0"/>
        <w:autoSpaceDN w:val="0"/>
        <w:adjustRightInd w:val="0"/>
        <w:rPr>
          <w:rFonts w:cs="Verdana"/>
          <w:b/>
          <w:i/>
          <w:color w:val="262626"/>
        </w:rPr>
      </w:pPr>
      <w:r w:rsidRPr="008C07DF">
        <w:rPr>
          <w:rFonts w:cs="Verdana"/>
          <w:b/>
          <w:i/>
          <w:color w:val="262626"/>
        </w:rPr>
        <w:t>Hollow Ball Storage Technology (Kugelpumpspeicher)</w:t>
      </w:r>
    </w:p>
    <w:p w14:paraId="4A512A3B" w14:textId="225739B1" w:rsidR="0038628F" w:rsidRPr="008C07DF" w:rsidRDefault="008C07DF" w:rsidP="00A546DC">
      <w:pPr>
        <w:widowControl w:val="0"/>
        <w:autoSpaceDE w:val="0"/>
        <w:autoSpaceDN w:val="0"/>
        <w:adjustRightInd w:val="0"/>
        <w:rPr>
          <w:rFonts w:cs="Verdana"/>
          <w:b/>
          <w:i/>
          <w:color w:val="262626"/>
        </w:rPr>
      </w:pPr>
      <w:r>
        <w:rPr>
          <w:rFonts w:cs="Verdana"/>
          <w:color w:val="262626"/>
        </w:rPr>
        <w:t xml:space="preserve">Last year German researchers </w:t>
      </w:r>
      <w:r w:rsidR="00D530AE">
        <w:rPr>
          <w:rFonts w:cs="Verdana"/>
          <w:color w:val="262626"/>
        </w:rPr>
        <w:t>announced a storage technology that it’s a hollow ball containing a turbine that would be submersed underwater (700 meters is the goal now).  Water would be let in to run the turbine and pumped out at night when excess power were on the grid.  The estimate is that the system would be 80-85% efficient, according to modeling.  The estimate is that they would cost 1200-1400 euors/kilowatt and run at pennies per kilowatt-hour.  They would be designed to run for 4 to 8 hours. Pilots are to be completed by the end of 2015.</w:t>
      </w:r>
      <w:r w:rsidR="00D530AE">
        <w:rPr>
          <w:rStyle w:val="FootnoteReference"/>
          <w:rFonts w:cs="Verdana"/>
          <w:color w:val="262626"/>
        </w:rPr>
        <w:footnoteReference w:id="58"/>
      </w:r>
      <w:r w:rsidRPr="008C07DF">
        <w:rPr>
          <w:rFonts w:cs="Verdana"/>
          <w:b/>
          <w:i/>
          <w:color w:val="262626"/>
        </w:rPr>
        <w:t xml:space="preserve"> </w:t>
      </w:r>
    </w:p>
    <w:p w14:paraId="5D35638A" w14:textId="34B228FA" w:rsidR="00C216F1" w:rsidRDefault="0033763F" w:rsidP="00A546DC">
      <w:pPr>
        <w:widowControl w:val="0"/>
        <w:autoSpaceDE w:val="0"/>
        <w:autoSpaceDN w:val="0"/>
        <w:adjustRightInd w:val="0"/>
        <w:rPr>
          <w:rFonts w:cs="Verdana"/>
          <w:color w:val="262626"/>
        </w:rPr>
      </w:pPr>
      <w:r>
        <w:rPr>
          <w:rFonts w:cs="Verdana"/>
          <w:color w:val="262626"/>
        </w:rPr>
        <w:tab/>
      </w:r>
      <w:r>
        <w:rPr>
          <w:rFonts w:cs="Verdana"/>
          <w:color w:val="262626"/>
        </w:rPr>
        <w:tab/>
      </w:r>
      <w:r>
        <w:rPr>
          <w:rFonts w:cs="Verdana"/>
          <w:color w:val="262626"/>
        </w:rPr>
        <w:tab/>
      </w:r>
    </w:p>
    <w:p w14:paraId="0703B7E3" w14:textId="2771D757" w:rsidR="0033763F" w:rsidRDefault="0033763F" w:rsidP="00A546DC">
      <w:pPr>
        <w:widowControl w:val="0"/>
        <w:autoSpaceDE w:val="0"/>
        <w:autoSpaceDN w:val="0"/>
        <w:adjustRightInd w:val="0"/>
        <w:rPr>
          <w:rFonts w:cs="Verdana"/>
          <w:color w:val="262626"/>
        </w:rPr>
      </w:pPr>
      <w:r>
        <w:rPr>
          <w:rFonts w:cs="Verdana"/>
          <w:color w:val="262626"/>
        </w:rPr>
        <w:tab/>
      </w:r>
      <w:r>
        <w:rPr>
          <w:rFonts w:cs="Verdana"/>
          <w:color w:val="262626"/>
        </w:rPr>
        <w:tab/>
      </w:r>
      <w:r>
        <w:rPr>
          <w:rFonts w:cs="Verdana"/>
          <w:color w:val="262626"/>
        </w:rPr>
        <w:tab/>
        <w:t xml:space="preserve">  Hollow Ball Energy Storage</w:t>
      </w:r>
      <w:r>
        <w:rPr>
          <w:rFonts w:cs="Verdana"/>
          <w:color w:val="262626"/>
        </w:rPr>
        <w:tab/>
      </w:r>
    </w:p>
    <w:p w14:paraId="64388E1B" w14:textId="1826EC3A" w:rsidR="00C216F1" w:rsidRDefault="0092744D" w:rsidP="0092744D">
      <w:pPr>
        <w:widowControl w:val="0"/>
        <w:autoSpaceDE w:val="0"/>
        <w:autoSpaceDN w:val="0"/>
        <w:adjustRightInd w:val="0"/>
        <w:ind w:left="2160"/>
        <w:rPr>
          <w:rFonts w:cs="Verdana"/>
          <w:color w:val="262626"/>
        </w:rPr>
      </w:pPr>
      <w:r>
        <w:rPr>
          <w:rFonts w:ascii="Helvetica" w:hAnsi="Helvetica" w:cs="Helvetica"/>
          <w:noProof/>
        </w:rPr>
        <w:drawing>
          <wp:inline distT="0" distB="0" distL="0" distR="0" wp14:anchorId="28413AD9" wp14:editId="3F9F7F83">
            <wp:extent cx="2057400" cy="130466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8228" cy="1305194"/>
                    </a:xfrm>
                    <a:prstGeom prst="rect">
                      <a:avLst/>
                    </a:prstGeom>
                    <a:noFill/>
                    <a:ln>
                      <a:noFill/>
                    </a:ln>
                  </pic:spPr>
                </pic:pic>
              </a:graphicData>
            </a:graphic>
          </wp:inline>
        </w:drawing>
      </w:r>
    </w:p>
    <w:p w14:paraId="64EBA2C6" w14:textId="3ED06C22" w:rsidR="0092744D" w:rsidRDefault="0092744D" w:rsidP="0092744D">
      <w:pPr>
        <w:widowControl w:val="0"/>
        <w:autoSpaceDE w:val="0"/>
        <w:autoSpaceDN w:val="0"/>
        <w:adjustRightInd w:val="0"/>
        <w:ind w:left="2160"/>
        <w:rPr>
          <w:rFonts w:cs="Verdana"/>
          <w:color w:val="262626"/>
          <w:sz w:val="16"/>
          <w:szCs w:val="16"/>
        </w:rPr>
      </w:pPr>
      <w:r>
        <w:rPr>
          <w:rFonts w:cs="Verdana"/>
          <w:color w:val="262626"/>
          <w:sz w:val="16"/>
          <w:szCs w:val="16"/>
        </w:rPr>
        <w:t>Source: Federal Republic of Germany</w:t>
      </w:r>
    </w:p>
    <w:p w14:paraId="516869F2" w14:textId="77777777" w:rsidR="009F57C4" w:rsidRDefault="009F57C4" w:rsidP="009F57C4">
      <w:pPr>
        <w:widowControl w:val="0"/>
        <w:autoSpaceDE w:val="0"/>
        <w:autoSpaceDN w:val="0"/>
        <w:adjustRightInd w:val="0"/>
        <w:rPr>
          <w:rFonts w:cs="Verdana"/>
          <w:color w:val="262626"/>
          <w:sz w:val="16"/>
          <w:szCs w:val="16"/>
        </w:rPr>
      </w:pPr>
    </w:p>
    <w:p w14:paraId="2DB54BF9" w14:textId="77777777" w:rsidR="009F57C4" w:rsidRPr="009F57C4" w:rsidRDefault="009F57C4" w:rsidP="009F57C4">
      <w:pPr>
        <w:widowControl w:val="0"/>
        <w:autoSpaceDE w:val="0"/>
        <w:autoSpaceDN w:val="0"/>
        <w:adjustRightInd w:val="0"/>
        <w:rPr>
          <w:rFonts w:cs="Verdana"/>
          <w:color w:val="262626"/>
        </w:rPr>
      </w:pPr>
    </w:p>
    <w:p w14:paraId="4385C61A" w14:textId="2ADE304E" w:rsidR="00124C38" w:rsidRPr="007F0606" w:rsidRDefault="007F0606" w:rsidP="00A546DC">
      <w:pPr>
        <w:widowControl w:val="0"/>
        <w:autoSpaceDE w:val="0"/>
        <w:autoSpaceDN w:val="0"/>
        <w:adjustRightInd w:val="0"/>
        <w:rPr>
          <w:rFonts w:cs="Verdana"/>
          <w:b/>
          <w:color w:val="262626"/>
        </w:rPr>
      </w:pPr>
      <w:r w:rsidRPr="007F0606">
        <w:rPr>
          <w:rFonts w:cs="Verdana"/>
          <w:b/>
          <w:color w:val="262626"/>
        </w:rPr>
        <w:t xml:space="preserve">Wave </w:t>
      </w:r>
      <w:r w:rsidR="00CB0CDF">
        <w:rPr>
          <w:rFonts w:cs="Verdana"/>
          <w:b/>
          <w:color w:val="262626"/>
        </w:rPr>
        <w:t xml:space="preserve">Market and </w:t>
      </w:r>
      <w:r w:rsidRPr="007F0606">
        <w:rPr>
          <w:rFonts w:cs="Verdana"/>
          <w:b/>
          <w:color w:val="262626"/>
        </w:rPr>
        <w:t>Technology</w:t>
      </w:r>
    </w:p>
    <w:p w14:paraId="4074D3B3" w14:textId="6859F520" w:rsidR="00CB0CDF" w:rsidRDefault="00C4518F" w:rsidP="007F0606">
      <w:pPr>
        <w:widowControl w:val="0"/>
        <w:autoSpaceDE w:val="0"/>
        <w:autoSpaceDN w:val="0"/>
        <w:adjustRightInd w:val="0"/>
        <w:rPr>
          <w:rFonts w:cs="Verdana"/>
          <w:color w:val="262626"/>
        </w:rPr>
      </w:pPr>
      <w:r>
        <w:rPr>
          <w:rFonts w:cs="Verdana"/>
          <w:color w:val="262626"/>
        </w:rPr>
        <w:t>US offshore wave</w:t>
      </w:r>
      <w:r w:rsidR="007F0606">
        <w:rPr>
          <w:rFonts w:cs="Verdana"/>
          <w:color w:val="262626"/>
        </w:rPr>
        <w:t xml:space="preserve"> potential is estimated to be about one quarter of the country’s total electric demand.  The largest resources are on the East and West Coasts.  The average capacity is about 9 megawatts per mile.</w:t>
      </w:r>
      <w:r w:rsidR="007F0606">
        <w:rPr>
          <w:rStyle w:val="FootnoteReference"/>
          <w:rFonts w:cs="Verdana"/>
          <w:color w:val="262626"/>
        </w:rPr>
        <w:footnoteReference w:id="59"/>
      </w:r>
      <w:r w:rsidR="007F0606">
        <w:rPr>
          <w:rFonts w:cs="Verdana"/>
          <w:color w:val="262626"/>
        </w:rPr>
        <w:t xml:space="preserve"> </w:t>
      </w:r>
      <w:r>
        <w:rPr>
          <w:rFonts w:cs="Verdana"/>
          <w:color w:val="262626"/>
        </w:rPr>
        <w:t xml:space="preserve">Technologies are still in the </w:t>
      </w:r>
      <w:r w:rsidR="00CB0CDF">
        <w:rPr>
          <w:rFonts w:cs="Verdana"/>
          <w:color w:val="262626"/>
        </w:rPr>
        <w:t>pilot/</w:t>
      </w:r>
      <w:r>
        <w:rPr>
          <w:rFonts w:cs="Verdana"/>
          <w:color w:val="262626"/>
        </w:rPr>
        <w:t>demonstration stage but the demonstration facilities are becoming larger in preparation for commercialization.</w:t>
      </w:r>
      <w:r w:rsidR="00CB0CDF">
        <w:rPr>
          <w:rFonts w:cs="Verdana"/>
          <w:color w:val="262626"/>
        </w:rPr>
        <w:t xml:space="preserve">  </w:t>
      </w:r>
      <w:r w:rsidR="00F0231C">
        <w:rPr>
          <w:rFonts w:cs="Verdana"/>
          <w:color w:val="262626"/>
        </w:rPr>
        <w:t xml:space="preserve">The industry is now populated by small companies.  They receive government support for piloting their prototypes.  However, Lockheed Martin is involved in a pilot off the coast of Australia.  Analysts believe that large companies like Siemens and GE will have to get involved before this market segment takes off.  The industry points to having nothing in the water 10 years ago to multiple-megawatt pilots in the water today. </w:t>
      </w:r>
      <w:r w:rsidR="00450B9C">
        <w:rPr>
          <w:rFonts w:cs="Verdana"/>
          <w:color w:val="262626"/>
        </w:rPr>
        <w:t xml:space="preserve"> Its representatives </w:t>
      </w:r>
      <w:r w:rsidR="001E4418">
        <w:rPr>
          <w:rFonts w:cs="Verdana"/>
          <w:color w:val="262626"/>
        </w:rPr>
        <w:t>expect “substantial amounts of grid-connected wave power” within 20 years.</w:t>
      </w:r>
      <w:r w:rsidR="0049487F">
        <w:rPr>
          <w:rStyle w:val="FootnoteReference"/>
          <w:rFonts w:cs="Verdana"/>
          <w:color w:val="262626"/>
        </w:rPr>
        <w:footnoteReference w:id="60"/>
      </w:r>
      <w:r w:rsidR="001E4418">
        <w:rPr>
          <w:rFonts w:cs="Verdana"/>
          <w:color w:val="262626"/>
        </w:rPr>
        <w:t xml:space="preserve"> </w:t>
      </w:r>
    </w:p>
    <w:p w14:paraId="21AC3F56" w14:textId="77777777" w:rsidR="00CB0CDF" w:rsidRDefault="00CB0CDF" w:rsidP="007F0606">
      <w:pPr>
        <w:widowControl w:val="0"/>
        <w:autoSpaceDE w:val="0"/>
        <w:autoSpaceDN w:val="0"/>
        <w:adjustRightInd w:val="0"/>
        <w:rPr>
          <w:rFonts w:cs="Verdana"/>
          <w:color w:val="262626"/>
        </w:rPr>
      </w:pPr>
    </w:p>
    <w:p w14:paraId="60EA1E23" w14:textId="5B46DFF1" w:rsidR="007F0606" w:rsidRDefault="00CB0CDF" w:rsidP="007F0606">
      <w:pPr>
        <w:widowControl w:val="0"/>
        <w:autoSpaceDE w:val="0"/>
        <w:autoSpaceDN w:val="0"/>
        <w:adjustRightInd w:val="0"/>
        <w:rPr>
          <w:rFonts w:cs="Verdana"/>
          <w:color w:val="262626"/>
        </w:rPr>
      </w:pPr>
      <w:r>
        <w:rPr>
          <w:rFonts w:cs="Verdana"/>
          <w:color w:val="262626"/>
        </w:rPr>
        <w:t>The regions of activity are Australia, the UK (</w:t>
      </w:r>
      <w:r w:rsidR="00450B9C">
        <w:rPr>
          <w:rFonts w:cs="Verdana"/>
          <w:color w:val="262626"/>
        </w:rPr>
        <w:t xml:space="preserve">particularly </w:t>
      </w:r>
      <w:r>
        <w:rPr>
          <w:rFonts w:cs="Verdana"/>
          <w:color w:val="262626"/>
        </w:rPr>
        <w:t xml:space="preserve">Scotland), and, in the US, it’s expected that the Pacific Northwest and Alaska will be the likely initial areas of development.  A pilot was approved off the coast Oregon in the spring of 2014.  </w:t>
      </w:r>
      <w:r w:rsidR="00450B9C">
        <w:rPr>
          <w:rFonts w:cs="Verdana"/>
          <w:color w:val="262626"/>
        </w:rPr>
        <w:t>The UK resource is large compared to overall demand. The country estimates that wave (and tide) technology could provide up to 75% of the country’s electric needs.</w:t>
      </w:r>
      <w:r w:rsidR="0049487F">
        <w:rPr>
          <w:rStyle w:val="FootnoteReference"/>
          <w:rFonts w:cs="Verdana"/>
          <w:color w:val="262626"/>
        </w:rPr>
        <w:footnoteReference w:id="61"/>
      </w:r>
    </w:p>
    <w:p w14:paraId="572E7239" w14:textId="77777777" w:rsidR="00F95C1D" w:rsidRDefault="00F95C1D" w:rsidP="007F0606">
      <w:pPr>
        <w:widowControl w:val="0"/>
        <w:autoSpaceDE w:val="0"/>
        <w:autoSpaceDN w:val="0"/>
        <w:adjustRightInd w:val="0"/>
        <w:rPr>
          <w:rFonts w:cs="Verdana"/>
          <w:color w:val="262626"/>
        </w:rPr>
      </w:pPr>
    </w:p>
    <w:p w14:paraId="07BE883C" w14:textId="1B6996B1" w:rsidR="00397CA9" w:rsidRDefault="00450B9C" w:rsidP="007F0606">
      <w:pPr>
        <w:widowControl w:val="0"/>
        <w:autoSpaceDE w:val="0"/>
        <w:autoSpaceDN w:val="0"/>
        <w:adjustRightInd w:val="0"/>
        <w:rPr>
          <w:rFonts w:cs="Verdana"/>
          <w:b/>
          <w:color w:val="262626"/>
        </w:rPr>
      </w:pPr>
      <w:r w:rsidRPr="00450B9C">
        <w:rPr>
          <w:rFonts w:cs="Verdana"/>
          <w:b/>
          <w:color w:val="262626"/>
        </w:rPr>
        <w:t>Technologies</w:t>
      </w:r>
    </w:p>
    <w:p w14:paraId="29D18286" w14:textId="55C27794" w:rsidR="000C5334" w:rsidRPr="000C5334" w:rsidRDefault="000C5334" w:rsidP="007F0606">
      <w:pPr>
        <w:widowControl w:val="0"/>
        <w:autoSpaceDE w:val="0"/>
        <w:autoSpaceDN w:val="0"/>
        <w:adjustRightInd w:val="0"/>
        <w:rPr>
          <w:rFonts w:cs="Verdana"/>
          <w:b/>
          <w:i/>
          <w:color w:val="262626"/>
        </w:rPr>
      </w:pPr>
      <w:r w:rsidRPr="000C5334">
        <w:rPr>
          <w:rFonts w:cs="Verdana"/>
          <w:b/>
          <w:i/>
          <w:color w:val="262626"/>
        </w:rPr>
        <w:t>Pelamis Wave</w:t>
      </w:r>
      <w:r>
        <w:rPr>
          <w:rFonts w:cs="Verdana"/>
          <w:b/>
          <w:i/>
          <w:color w:val="262626"/>
        </w:rPr>
        <w:t xml:space="preserve"> Power</w:t>
      </w:r>
      <w:r w:rsidRPr="000C5334">
        <w:rPr>
          <w:rFonts w:cs="Verdana"/>
          <w:b/>
          <w:i/>
          <w:color w:val="262626"/>
        </w:rPr>
        <w:t xml:space="preserve"> Machine</w:t>
      </w:r>
    </w:p>
    <w:p w14:paraId="175B0F60" w14:textId="240B2093" w:rsidR="00450B9C" w:rsidRDefault="00E06DEC" w:rsidP="007F0606">
      <w:pPr>
        <w:widowControl w:val="0"/>
        <w:autoSpaceDE w:val="0"/>
        <w:autoSpaceDN w:val="0"/>
        <w:adjustRightInd w:val="0"/>
        <w:rPr>
          <w:rFonts w:cs="Verdana"/>
          <w:color w:val="262626"/>
        </w:rPr>
      </w:pPr>
      <w:r>
        <w:rPr>
          <w:rFonts w:cs="Verdana"/>
          <w:color w:val="262626"/>
        </w:rPr>
        <w:t xml:space="preserve">Pelamis Wave Power, a Scottish company, is an example of the </w:t>
      </w:r>
      <w:r w:rsidR="000F78AA">
        <w:rPr>
          <w:rFonts w:cs="Verdana"/>
          <w:color w:val="262626"/>
        </w:rPr>
        <w:t xml:space="preserve">potential </w:t>
      </w:r>
      <w:r>
        <w:rPr>
          <w:rFonts w:cs="Verdana"/>
          <w:color w:val="262626"/>
        </w:rPr>
        <w:t xml:space="preserve">difficulty </w:t>
      </w:r>
      <w:r w:rsidR="000F78AA">
        <w:rPr>
          <w:rFonts w:cs="Verdana"/>
          <w:color w:val="262626"/>
        </w:rPr>
        <w:t xml:space="preserve">the </w:t>
      </w:r>
      <w:r>
        <w:rPr>
          <w:rFonts w:cs="Verdana"/>
          <w:color w:val="262626"/>
        </w:rPr>
        <w:t xml:space="preserve">industry </w:t>
      </w:r>
      <w:r w:rsidR="000F78AA">
        <w:rPr>
          <w:rFonts w:cs="Verdana"/>
          <w:color w:val="262626"/>
        </w:rPr>
        <w:t xml:space="preserve">may have </w:t>
      </w:r>
      <w:r>
        <w:rPr>
          <w:rFonts w:cs="Verdana"/>
          <w:color w:val="262626"/>
        </w:rPr>
        <w:t xml:space="preserve">to maintain funding in order to fully develop a technology.  </w:t>
      </w:r>
      <w:r w:rsidR="004D2308">
        <w:rPr>
          <w:rFonts w:cs="Verdana"/>
          <w:color w:val="262626"/>
        </w:rPr>
        <w:t xml:space="preserve">Its machine is designed to operate in 50 meters of water (164 ft.) 2 to 6 miles from the coast.  It is rated at 750 kilowatts with a capacity factor of 20 to 40%, enough to power 500 homes per year. </w:t>
      </w:r>
    </w:p>
    <w:p w14:paraId="21174A76" w14:textId="77777777" w:rsidR="004D2308" w:rsidRDefault="004D2308" w:rsidP="007F0606">
      <w:pPr>
        <w:widowControl w:val="0"/>
        <w:autoSpaceDE w:val="0"/>
        <w:autoSpaceDN w:val="0"/>
        <w:adjustRightInd w:val="0"/>
        <w:rPr>
          <w:rFonts w:cs="Verdana"/>
          <w:color w:val="262626"/>
        </w:rPr>
      </w:pPr>
    </w:p>
    <w:p w14:paraId="5C91D603" w14:textId="212B6A63" w:rsidR="004D2308" w:rsidRDefault="004D2308" w:rsidP="007F0606">
      <w:pPr>
        <w:widowControl w:val="0"/>
        <w:autoSpaceDE w:val="0"/>
        <w:autoSpaceDN w:val="0"/>
        <w:adjustRightInd w:val="0"/>
        <w:rPr>
          <w:rFonts w:cs="Verdana"/>
          <w:color w:val="262626"/>
        </w:rPr>
      </w:pPr>
      <w:r>
        <w:rPr>
          <w:rFonts w:cs="Verdana"/>
          <w:color w:val="262626"/>
        </w:rPr>
        <w:t>The system is a series of linked tubes that face into waves.  As the waves pass, hydraulic pressure is converted to electricity and transmitted to land via cables.</w:t>
      </w:r>
      <w:r w:rsidR="0049487F">
        <w:rPr>
          <w:rStyle w:val="FootnoteReference"/>
          <w:rFonts w:cs="Verdana"/>
          <w:color w:val="262626"/>
        </w:rPr>
        <w:footnoteReference w:id="62"/>
      </w:r>
      <w:r>
        <w:rPr>
          <w:rFonts w:cs="Verdana"/>
          <w:color w:val="262626"/>
        </w:rPr>
        <w:t xml:space="preserve"> </w:t>
      </w:r>
    </w:p>
    <w:p w14:paraId="15FDAC05" w14:textId="77777777" w:rsidR="004D2308" w:rsidRDefault="004D2308" w:rsidP="007F0606">
      <w:pPr>
        <w:widowControl w:val="0"/>
        <w:autoSpaceDE w:val="0"/>
        <w:autoSpaceDN w:val="0"/>
        <w:adjustRightInd w:val="0"/>
        <w:rPr>
          <w:rFonts w:cs="Verdana"/>
          <w:color w:val="262626"/>
        </w:rPr>
      </w:pPr>
    </w:p>
    <w:p w14:paraId="50A1DCFC" w14:textId="58282B75" w:rsidR="004D2308" w:rsidRDefault="004D2308" w:rsidP="00A46A2F">
      <w:pPr>
        <w:widowControl w:val="0"/>
        <w:autoSpaceDE w:val="0"/>
        <w:autoSpaceDN w:val="0"/>
        <w:adjustRightInd w:val="0"/>
        <w:ind w:left="2160"/>
        <w:rPr>
          <w:rFonts w:cs="Verdana"/>
          <w:color w:val="262626"/>
        </w:rPr>
      </w:pPr>
      <w:r>
        <w:rPr>
          <w:rFonts w:ascii="Helvetica" w:hAnsi="Helvetica" w:cs="Helvetica"/>
          <w:noProof/>
        </w:rPr>
        <w:drawing>
          <wp:inline distT="0" distB="0" distL="0" distR="0" wp14:anchorId="1817FDF9" wp14:editId="1CDE0233">
            <wp:extent cx="2551279" cy="1409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2587" cy="1410423"/>
                    </a:xfrm>
                    <a:prstGeom prst="rect">
                      <a:avLst/>
                    </a:prstGeom>
                    <a:noFill/>
                    <a:ln>
                      <a:noFill/>
                    </a:ln>
                  </pic:spPr>
                </pic:pic>
              </a:graphicData>
            </a:graphic>
          </wp:inline>
        </w:drawing>
      </w:r>
    </w:p>
    <w:p w14:paraId="546810AF" w14:textId="3754E2E4" w:rsidR="004D2308" w:rsidRPr="004D2308" w:rsidRDefault="004D2308" w:rsidP="00A46A2F">
      <w:pPr>
        <w:widowControl w:val="0"/>
        <w:autoSpaceDE w:val="0"/>
        <w:autoSpaceDN w:val="0"/>
        <w:adjustRightInd w:val="0"/>
        <w:ind w:left="1440" w:firstLine="720"/>
        <w:rPr>
          <w:rFonts w:cs="Verdana"/>
          <w:color w:val="262626"/>
          <w:sz w:val="16"/>
          <w:szCs w:val="16"/>
        </w:rPr>
      </w:pPr>
      <w:r w:rsidRPr="004D2308">
        <w:rPr>
          <w:rFonts w:cs="Verdana"/>
          <w:color w:val="262626"/>
          <w:sz w:val="16"/>
          <w:szCs w:val="16"/>
        </w:rPr>
        <w:t>Source: Pelamis Power</w:t>
      </w:r>
    </w:p>
    <w:p w14:paraId="1E1F1597" w14:textId="77777777" w:rsidR="00C4518F" w:rsidRDefault="00C4518F" w:rsidP="007F0606">
      <w:pPr>
        <w:widowControl w:val="0"/>
        <w:autoSpaceDE w:val="0"/>
        <w:autoSpaceDN w:val="0"/>
        <w:adjustRightInd w:val="0"/>
        <w:rPr>
          <w:rFonts w:cs="Verdana"/>
          <w:color w:val="262626"/>
        </w:rPr>
      </w:pPr>
    </w:p>
    <w:p w14:paraId="24CA793D" w14:textId="159D3EBC" w:rsidR="00A46A2F" w:rsidRDefault="00A46A2F" w:rsidP="007F0606">
      <w:pPr>
        <w:widowControl w:val="0"/>
        <w:autoSpaceDE w:val="0"/>
        <w:autoSpaceDN w:val="0"/>
        <w:adjustRightInd w:val="0"/>
        <w:rPr>
          <w:rFonts w:cs="Verdana"/>
          <w:color w:val="262626"/>
        </w:rPr>
      </w:pPr>
      <w:r>
        <w:rPr>
          <w:rFonts w:cs="Verdana"/>
          <w:color w:val="262626"/>
        </w:rPr>
        <w:t>In February of 2013, the company received $2.1 million for a pilot off the U</w:t>
      </w:r>
      <w:r w:rsidR="0049487F">
        <w:rPr>
          <w:rFonts w:cs="Verdana"/>
          <w:color w:val="262626"/>
        </w:rPr>
        <w:t>K coast.</w:t>
      </w:r>
      <w:r w:rsidR="0049487F">
        <w:rPr>
          <w:rStyle w:val="FootnoteReference"/>
          <w:rFonts w:cs="Verdana"/>
          <w:color w:val="262626"/>
        </w:rPr>
        <w:footnoteReference w:id="63"/>
      </w:r>
      <w:r w:rsidR="0049487F">
        <w:rPr>
          <w:rFonts w:cs="Verdana"/>
          <w:color w:val="262626"/>
        </w:rPr>
        <w:t xml:space="preserve">  However, in November </w:t>
      </w:r>
      <w:r>
        <w:rPr>
          <w:rFonts w:cs="Verdana"/>
          <w:color w:val="262626"/>
        </w:rPr>
        <w:t>of 2014 the company announced that it has lost its funding and is assessing its future.</w:t>
      </w:r>
      <w:r w:rsidR="0049487F">
        <w:rPr>
          <w:rStyle w:val="FootnoteReference"/>
          <w:rFonts w:cs="Verdana"/>
          <w:color w:val="262626"/>
        </w:rPr>
        <w:footnoteReference w:id="64"/>
      </w:r>
    </w:p>
    <w:p w14:paraId="1BDCBC35" w14:textId="77777777" w:rsidR="00A46A2F" w:rsidRDefault="00A46A2F" w:rsidP="007F0606">
      <w:pPr>
        <w:widowControl w:val="0"/>
        <w:autoSpaceDE w:val="0"/>
        <w:autoSpaceDN w:val="0"/>
        <w:adjustRightInd w:val="0"/>
        <w:rPr>
          <w:rFonts w:cs="Verdana"/>
          <w:color w:val="262626"/>
        </w:rPr>
      </w:pPr>
    </w:p>
    <w:p w14:paraId="0C071740" w14:textId="67F45E17" w:rsidR="00A46A2F" w:rsidRDefault="00A46A2F" w:rsidP="00A46A2F">
      <w:pPr>
        <w:widowControl w:val="0"/>
        <w:autoSpaceDE w:val="0"/>
        <w:autoSpaceDN w:val="0"/>
        <w:adjustRightInd w:val="0"/>
        <w:ind w:left="2880"/>
        <w:rPr>
          <w:rFonts w:cs="Verdana"/>
          <w:color w:val="262626"/>
        </w:rPr>
      </w:pPr>
      <w:r>
        <w:rPr>
          <w:rFonts w:ascii="Helvetica" w:hAnsi="Helvetica" w:cs="Helvetica"/>
          <w:noProof/>
        </w:rPr>
        <w:drawing>
          <wp:inline distT="0" distB="0" distL="0" distR="0" wp14:anchorId="1C26C6C4" wp14:editId="553EDEC0">
            <wp:extent cx="1905000" cy="127000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1270000"/>
                    </a:xfrm>
                    <a:prstGeom prst="rect">
                      <a:avLst/>
                    </a:prstGeom>
                    <a:noFill/>
                    <a:ln>
                      <a:noFill/>
                    </a:ln>
                  </pic:spPr>
                </pic:pic>
              </a:graphicData>
            </a:graphic>
          </wp:inline>
        </w:drawing>
      </w:r>
    </w:p>
    <w:p w14:paraId="7A46C46D" w14:textId="216745AC" w:rsidR="00C4518F" w:rsidRDefault="00A46A2F" w:rsidP="007F0606">
      <w:pPr>
        <w:widowControl w:val="0"/>
        <w:autoSpaceDE w:val="0"/>
        <w:autoSpaceDN w:val="0"/>
        <w:adjustRightInd w:val="0"/>
        <w:rPr>
          <w:rFonts w:cs="Verdana"/>
          <w:color w:val="262626"/>
          <w:sz w:val="16"/>
          <w:szCs w:val="16"/>
        </w:rPr>
      </w:pPr>
      <w:r>
        <w:rPr>
          <w:rFonts w:cs="Verdana"/>
          <w:color w:val="262626"/>
        </w:rPr>
        <w:tab/>
      </w:r>
      <w:r>
        <w:rPr>
          <w:rFonts w:cs="Verdana"/>
          <w:color w:val="262626"/>
        </w:rPr>
        <w:tab/>
      </w:r>
      <w:r>
        <w:rPr>
          <w:rFonts w:cs="Verdana"/>
          <w:color w:val="262626"/>
        </w:rPr>
        <w:tab/>
      </w:r>
      <w:r>
        <w:rPr>
          <w:rFonts w:cs="Verdana"/>
          <w:color w:val="262626"/>
        </w:rPr>
        <w:tab/>
      </w:r>
      <w:r w:rsidRPr="00A46A2F">
        <w:rPr>
          <w:rFonts w:cs="Verdana"/>
          <w:color w:val="262626"/>
          <w:sz w:val="16"/>
          <w:szCs w:val="16"/>
        </w:rPr>
        <w:t>Source: Pelamis Power</w:t>
      </w:r>
    </w:p>
    <w:p w14:paraId="11E8AD21" w14:textId="77777777" w:rsidR="00A46A2F" w:rsidRDefault="00A46A2F" w:rsidP="007F0606">
      <w:pPr>
        <w:widowControl w:val="0"/>
        <w:autoSpaceDE w:val="0"/>
        <w:autoSpaceDN w:val="0"/>
        <w:adjustRightInd w:val="0"/>
        <w:rPr>
          <w:rFonts w:cs="Verdana"/>
          <w:color w:val="262626"/>
          <w:sz w:val="16"/>
          <w:szCs w:val="16"/>
        </w:rPr>
      </w:pPr>
    </w:p>
    <w:p w14:paraId="78864E7C" w14:textId="77777777" w:rsidR="000C5334" w:rsidRDefault="000C5334" w:rsidP="007F0606">
      <w:pPr>
        <w:widowControl w:val="0"/>
        <w:autoSpaceDE w:val="0"/>
        <w:autoSpaceDN w:val="0"/>
        <w:adjustRightInd w:val="0"/>
        <w:rPr>
          <w:rFonts w:cs="Verdana"/>
          <w:color w:val="262626"/>
          <w:sz w:val="16"/>
          <w:szCs w:val="16"/>
        </w:rPr>
      </w:pPr>
    </w:p>
    <w:p w14:paraId="277CC230" w14:textId="77777777" w:rsidR="0015653D" w:rsidRDefault="0015653D" w:rsidP="007F0606">
      <w:pPr>
        <w:widowControl w:val="0"/>
        <w:autoSpaceDE w:val="0"/>
        <w:autoSpaceDN w:val="0"/>
        <w:adjustRightInd w:val="0"/>
        <w:rPr>
          <w:rFonts w:cs="Verdana"/>
          <w:b/>
          <w:i/>
          <w:color w:val="262626"/>
        </w:rPr>
      </w:pPr>
    </w:p>
    <w:p w14:paraId="26469611" w14:textId="5D6EA394" w:rsidR="00A46A2F" w:rsidRPr="000C5334" w:rsidRDefault="000C5334" w:rsidP="007F0606">
      <w:pPr>
        <w:widowControl w:val="0"/>
        <w:autoSpaceDE w:val="0"/>
        <w:autoSpaceDN w:val="0"/>
        <w:adjustRightInd w:val="0"/>
        <w:rPr>
          <w:rFonts w:cs="Verdana"/>
          <w:b/>
          <w:i/>
          <w:color w:val="262626"/>
        </w:rPr>
      </w:pPr>
      <w:r w:rsidRPr="000C5334">
        <w:rPr>
          <w:rFonts w:cs="Verdana"/>
          <w:b/>
          <w:i/>
          <w:color w:val="262626"/>
        </w:rPr>
        <w:t>Carnegie Wave Power Machine</w:t>
      </w:r>
    </w:p>
    <w:p w14:paraId="2072568A" w14:textId="121532CF" w:rsidR="000C5334" w:rsidRDefault="000C5334" w:rsidP="007F0606">
      <w:pPr>
        <w:widowControl w:val="0"/>
        <w:autoSpaceDE w:val="0"/>
        <w:autoSpaceDN w:val="0"/>
        <w:adjustRightInd w:val="0"/>
        <w:rPr>
          <w:rFonts w:cs="Verdana"/>
          <w:color w:val="262626"/>
        </w:rPr>
      </w:pPr>
      <w:r>
        <w:rPr>
          <w:rFonts w:cs="Verdana"/>
          <w:color w:val="262626"/>
        </w:rPr>
        <w:t>Carnegie</w:t>
      </w:r>
      <w:r w:rsidR="0076662A">
        <w:rPr>
          <w:rFonts w:cs="Verdana"/>
          <w:color w:val="262626"/>
        </w:rPr>
        <w:t xml:space="preserve"> Wave</w:t>
      </w:r>
      <w:r w:rsidR="00682AAE">
        <w:rPr>
          <w:rFonts w:cs="Verdana"/>
          <w:color w:val="262626"/>
        </w:rPr>
        <w:t>, an Australian-based company,</w:t>
      </w:r>
      <w:r w:rsidR="000F78AA">
        <w:rPr>
          <w:rFonts w:cs="Verdana"/>
          <w:color w:val="262626"/>
        </w:rPr>
        <w:t xml:space="preserve"> has had </w:t>
      </w:r>
      <w:r>
        <w:rPr>
          <w:rFonts w:cs="Verdana"/>
          <w:color w:val="262626"/>
        </w:rPr>
        <w:t xml:space="preserve">more successful </w:t>
      </w:r>
      <w:r w:rsidR="000F78AA">
        <w:rPr>
          <w:rFonts w:cs="Verdana"/>
          <w:color w:val="262626"/>
        </w:rPr>
        <w:t xml:space="preserve">with its </w:t>
      </w:r>
      <w:r>
        <w:rPr>
          <w:rFonts w:cs="Verdana"/>
          <w:color w:val="262626"/>
        </w:rPr>
        <w:t xml:space="preserve">design.  </w:t>
      </w:r>
      <w:r w:rsidR="000F78AA">
        <w:rPr>
          <w:rFonts w:cs="Verdana"/>
          <w:color w:val="262626"/>
        </w:rPr>
        <w:t>The company’s</w:t>
      </w:r>
      <w:r w:rsidR="00682AAE">
        <w:rPr>
          <w:rFonts w:cs="Verdana"/>
          <w:color w:val="262626"/>
        </w:rPr>
        <w:t xml:space="preserve"> CETO unit is designed to deliver electricity and desalinated fresh water.  It is fully submerged and pumps pressurized salt water to shore where hydro-electric turbines generate electricity.</w:t>
      </w:r>
      <w:r w:rsidR="0076662A">
        <w:rPr>
          <w:rStyle w:val="FootnoteReference"/>
          <w:rFonts w:cs="Verdana"/>
          <w:color w:val="262626"/>
        </w:rPr>
        <w:footnoteReference w:id="65"/>
      </w:r>
      <w:r w:rsidR="00682AAE">
        <w:rPr>
          <w:rFonts w:cs="Verdana"/>
          <w:color w:val="262626"/>
        </w:rPr>
        <w:t xml:space="preserve"> </w:t>
      </w:r>
    </w:p>
    <w:p w14:paraId="0BBCF641" w14:textId="77777777" w:rsidR="00682AAE" w:rsidRDefault="00682AAE" w:rsidP="007F0606">
      <w:pPr>
        <w:widowControl w:val="0"/>
        <w:autoSpaceDE w:val="0"/>
        <w:autoSpaceDN w:val="0"/>
        <w:adjustRightInd w:val="0"/>
        <w:rPr>
          <w:rFonts w:cs="Verdana"/>
          <w:color w:val="262626"/>
        </w:rPr>
      </w:pPr>
    </w:p>
    <w:p w14:paraId="0A362FE0" w14:textId="5DC2E591" w:rsidR="0033763F" w:rsidRDefault="00682AAE" w:rsidP="007F0606">
      <w:pPr>
        <w:widowControl w:val="0"/>
        <w:autoSpaceDE w:val="0"/>
        <w:autoSpaceDN w:val="0"/>
        <w:adjustRightInd w:val="0"/>
        <w:rPr>
          <w:rFonts w:cs="Verdana"/>
          <w:color w:val="262626"/>
        </w:rPr>
      </w:pPr>
      <w:r>
        <w:rPr>
          <w:rFonts w:cs="Verdana"/>
          <w:color w:val="262626"/>
        </w:rPr>
        <w:t>Carnegie successfully demonstrated its 80 kilowatt model off the coast of Perth, Australia, in 2011.  Since then, it has received permission and funding to test its 240 kilowatt</w:t>
      </w:r>
      <w:r w:rsidR="007F2F3D">
        <w:rPr>
          <w:rFonts w:cs="Verdana"/>
          <w:color w:val="262626"/>
        </w:rPr>
        <w:t xml:space="preserve"> CETO 5 unit, set to be the first demonstration worldwide linking 3 machines.  It is set to begin operation this year.  Carnegie is working toward its 1 megawatt CETO 6 design demonstration slated for 2016.</w:t>
      </w:r>
      <w:r w:rsidR="0076662A">
        <w:rPr>
          <w:rStyle w:val="FootnoteReference"/>
          <w:rFonts w:cs="Verdana"/>
          <w:color w:val="262626"/>
        </w:rPr>
        <w:footnoteReference w:id="66"/>
      </w:r>
    </w:p>
    <w:p w14:paraId="2C0AFD3D" w14:textId="77777777" w:rsidR="005E376A" w:rsidRDefault="005E376A" w:rsidP="0033763F">
      <w:pPr>
        <w:widowControl w:val="0"/>
        <w:autoSpaceDE w:val="0"/>
        <w:autoSpaceDN w:val="0"/>
        <w:adjustRightInd w:val="0"/>
        <w:ind w:left="2160" w:firstLine="720"/>
        <w:rPr>
          <w:rFonts w:cs="Verdana"/>
          <w:color w:val="262626"/>
        </w:rPr>
      </w:pPr>
    </w:p>
    <w:p w14:paraId="107815BD" w14:textId="2EDF4F4E" w:rsidR="0033763F" w:rsidRDefault="0033763F" w:rsidP="0033763F">
      <w:pPr>
        <w:widowControl w:val="0"/>
        <w:autoSpaceDE w:val="0"/>
        <w:autoSpaceDN w:val="0"/>
        <w:adjustRightInd w:val="0"/>
        <w:ind w:left="2160" w:firstLine="720"/>
        <w:rPr>
          <w:rFonts w:cs="Verdana"/>
          <w:color w:val="262626"/>
        </w:rPr>
      </w:pPr>
      <w:r>
        <w:rPr>
          <w:rFonts w:cs="Verdana"/>
          <w:color w:val="262626"/>
        </w:rPr>
        <w:t>CETO 5 Unit</w:t>
      </w:r>
    </w:p>
    <w:p w14:paraId="5A0C8F38" w14:textId="47F235C2" w:rsidR="0033763F" w:rsidRDefault="0033763F" w:rsidP="0033763F">
      <w:pPr>
        <w:widowControl w:val="0"/>
        <w:autoSpaceDE w:val="0"/>
        <w:autoSpaceDN w:val="0"/>
        <w:adjustRightInd w:val="0"/>
        <w:ind w:left="2880"/>
        <w:rPr>
          <w:rFonts w:cs="Verdana"/>
          <w:color w:val="262626"/>
        </w:rPr>
      </w:pPr>
      <w:r>
        <w:rPr>
          <w:rFonts w:ascii="Helvetica" w:hAnsi="Helvetica" w:cs="Helvetica"/>
          <w:noProof/>
        </w:rPr>
        <w:drawing>
          <wp:inline distT="0" distB="0" distL="0" distR="0" wp14:anchorId="320525D3" wp14:editId="57DE1298">
            <wp:extent cx="914400" cy="159123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5726" cy="1593543"/>
                    </a:xfrm>
                    <a:prstGeom prst="rect">
                      <a:avLst/>
                    </a:prstGeom>
                    <a:noFill/>
                    <a:ln>
                      <a:noFill/>
                    </a:ln>
                  </pic:spPr>
                </pic:pic>
              </a:graphicData>
            </a:graphic>
          </wp:inline>
        </w:drawing>
      </w:r>
    </w:p>
    <w:p w14:paraId="10E421D9" w14:textId="7D7C2489" w:rsidR="007F2F3D" w:rsidRPr="0033763F" w:rsidRDefault="0033763F" w:rsidP="0033763F">
      <w:pPr>
        <w:widowControl w:val="0"/>
        <w:autoSpaceDE w:val="0"/>
        <w:autoSpaceDN w:val="0"/>
        <w:adjustRightInd w:val="0"/>
        <w:ind w:left="2160" w:firstLine="720"/>
        <w:rPr>
          <w:rFonts w:cs="Verdana"/>
          <w:color w:val="262626"/>
          <w:sz w:val="16"/>
          <w:szCs w:val="16"/>
        </w:rPr>
      </w:pPr>
      <w:r w:rsidRPr="0033763F">
        <w:rPr>
          <w:rFonts w:cs="Verdana"/>
          <w:color w:val="262626"/>
          <w:sz w:val="16"/>
          <w:szCs w:val="16"/>
        </w:rPr>
        <w:t>Source: Carnegie Wave</w:t>
      </w:r>
    </w:p>
    <w:p w14:paraId="7CF7E429" w14:textId="77777777" w:rsidR="00A46A2F" w:rsidRDefault="00A46A2F" w:rsidP="007F0606">
      <w:pPr>
        <w:widowControl w:val="0"/>
        <w:autoSpaceDE w:val="0"/>
        <w:autoSpaceDN w:val="0"/>
        <w:adjustRightInd w:val="0"/>
        <w:rPr>
          <w:rFonts w:cs="Verdana"/>
          <w:color w:val="262626"/>
          <w:sz w:val="16"/>
          <w:szCs w:val="16"/>
        </w:rPr>
      </w:pPr>
    </w:p>
    <w:p w14:paraId="1E929B60" w14:textId="032D50C1" w:rsidR="0033763F" w:rsidRPr="000A0B63" w:rsidRDefault="000A0B63" w:rsidP="007F0606">
      <w:pPr>
        <w:widowControl w:val="0"/>
        <w:autoSpaceDE w:val="0"/>
        <w:autoSpaceDN w:val="0"/>
        <w:adjustRightInd w:val="0"/>
        <w:rPr>
          <w:rFonts w:cs="Verdana"/>
          <w:b/>
          <w:i/>
          <w:color w:val="262626"/>
        </w:rPr>
      </w:pPr>
      <w:r w:rsidRPr="000A0B63">
        <w:rPr>
          <w:rFonts w:cs="Verdana"/>
          <w:b/>
          <w:i/>
          <w:color w:val="262626"/>
        </w:rPr>
        <w:t>M3 Wave Power Technology</w:t>
      </w:r>
    </w:p>
    <w:p w14:paraId="795F723C" w14:textId="6F9A058E" w:rsidR="0033763F" w:rsidRDefault="000A0B63" w:rsidP="007F0606">
      <w:pPr>
        <w:widowControl w:val="0"/>
        <w:autoSpaceDE w:val="0"/>
        <w:autoSpaceDN w:val="0"/>
        <w:adjustRightInd w:val="0"/>
        <w:rPr>
          <w:rFonts w:cs="PT Sans"/>
        </w:rPr>
      </w:pPr>
      <w:r>
        <w:rPr>
          <w:rFonts w:cs="Verdana"/>
          <w:color w:val="262626"/>
        </w:rPr>
        <w:t xml:space="preserve">M3 Wave Power LLC has developed a “submerged pressure differential wave energy device.” It deployed a unit </w:t>
      </w:r>
      <w:r w:rsidR="00CE600C">
        <w:rPr>
          <w:rFonts w:cs="Verdana"/>
          <w:color w:val="262626"/>
        </w:rPr>
        <w:t>for testing in September 2014 off the coast of Astoria, Oregon.  The technology is designed for island villages where high-cost diesel units are used to generate electricity.  Its current goal is to development a 150 kilowatt unit for such purposes.  The pilot is 30 feet long and 8 feet wide.  While it is generating power, it is not connected to the grid.  The unit “</w:t>
      </w:r>
      <w:r w:rsidR="00CE600C" w:rsidRPr="00CE600C">
        <w:rPr>
          <w:rFonts w:cs="PT Sans"/>
        </w:rPr>
        <w:t>turns the pressure waves under ocean waves into alternating expansion and contraction cycles of an air-filled system which, in turn, drives an air turbine connected to an electrical generator.</w:t>
      </w:r>
      <w:r w:rsidR="00CE600C">
        <w:rPr>
          <w:rFonts w:cs="PT Sans"/>
        </w:rPr>
        <w:t>”</w:t>
      </w:r>
      <w:r w:rsidR="00CE600C">
        <w:rPr>
          <w:rStyle w:val="FootnoteReference"/>
          <w:rFonts w:cs="PT Sans"/>
        </w:rPr>
        <w:footnoteReference w:id="67"/>
      </w:r>
      <w:r w:rsidR="00CE600C">
        <w:rPr>
          <w:rFonts w:cs="PT Sans"/>
        </w:rPr>
        <w:t xml:space="preserve"> </w:t>
      </w:r>
    </w:p>
    <w:p w14:paraId="5EA955BC" w14:textId="77777777" w:rsidR="00CE600C" w:rsidRPr="00CE600C" w:rsidRDefault="00CE600C" w:rsidP="007F0606">
      <w:pPr>
        <w:widowControl w:val="0"/>
        <w:autoSpaceDE w:val="0"/>
        <w:autoSpaceDN w:val="0"/>
        <w:adjustRightInd w:val="0"/>
        <w:rPr>
          <w:rFonts w:cs="Verdana"/>
        </w:rPr>
      </w:pPr>
    </w:p>
    <w:p w14:paraId="1ABA95AB" w14:textId="77777777" w:rsidR="00CE600C" w:rsidRDefault="00CE600C" w:rsidP="007F0606">
      <w:pPr>
        <w:widowControl w:val="0"/>
        <w:autoSpaceDE w:val="0"/>
        <w:autoSpaceDN w:val="0"/>
        <w:adjustRightInd w:val="0"/>
        <w:rPr>
          <w:rFonts w:cs="Verdana"/>
          <w:color w:val="262626"/>
        </w:rPr>
      </w:pPr>
    </w:p>
    <w:p w14:paraId="6F3EB8E3" w14:textId="0D044986" w:rsidR="00CE600C" w:rsidRDefault="00CE600C" w:rsidP="00CE600C">
      <w:pPr>
        <w:widowControl w:val="0"/>
        <w:autoSpaceDE w:val="0"/>
        <w:autoSpaceDN w:val="0"/>
        <w:adjustRightInd w:val="0"/>
        <w:ind w:left="2160"/>
        <w:rPr>
          <w:rFonts w:cs="Verdana"/>
          <w:color w:val="262626"/>
        </w:rPr>
      </w:pPr>
      <w:r>
        <w:rPr>
          <w:rFonts w:ascii="Helvetica" w:hAnsi="Helvetica" w:cs="Helvetica"/>
          <w:noProof/>
        </w:rPr>
        <w:drawing>
          <wp:inline distT="0" distB="0" distL="0" distR="0" wp14:anchorId="2617EEE8" wp14:editId="321F0634">
            <wp:extent cx="2628900" cy="1820008"/>
            <wp:effectExtent l="0" t="0" r="0" b="889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9425" cy="1820371"/>
                    </a:xfrm>
                    <a:prstGeom prst="rect">
                      <a:avLst/>
                    </a:prstGeom>
                    <a:noFill/>
                    <a:ln>
                      <a:noFill/>
                    </a:ln>
                  </pic:spPr>
                </pic:pic>
              </a:graphicData>
            </a:graphic>
          </wp:inline>
        </w:drawing>
      </w:r>
    </w:p>
    <w:p w14:paraId="5447D0C1" w14:textId="2DC27FA2" w:rsidR="00CE600C" w:rsidRPr="00CE600C" w:rsidRDefault="00CE600C" w:rsidP="00A546DC">
      <w:pPr>
        <w:widowControl w:val="0"/>
        <w:autoSpaceDE w:val="0"/>
        <w:autoSpaceDN w:val="0"/>
        <w:adjustRightInd w:val="0"/>
        <w:rPr>
          <w:rFonts w:cs="Verdana"/>
          <w:color w:val="262626"/>
          <w:sz w:val="16"/>
          <w:szCs w:val="16"/>
        </w:rPr>
      </w:pPr>
      <w:r>
        <w:rPr>
          <w:rFonts w:cs="Verdana"/>
          <w:color w:val="262626"/>
        </w:rPr>
        <w:tab/>
      </w:r>
      <w:r>
        <w:rPr>
          <w:rFonts w:cs="Verdana"/>
          <w:color w:val="262626"/>
        </w:rPr>
        <w:tab/>
      </w:r>
      <w:r>
        <w:rPr>
          <w:rFonts w:cs="Verdana"/>
          <w:color w:val="262626"/>
        </w:rPr>
        <w:tab/>
        <w:t xml:space="preserve"> </w:t>
      </w:r>
      <w:r w:rsidRPr="00CE600C">
        <w:rPr>
          <w:rFonts w:cs="Verdana"/>
          <w:color w:val="262626"/>
          <w:sz w:val="16"/>
          <w:szCs w:val="16"/>
        </w:rPr>
        <w:t>Source: M3 Wave Power LLC</w:t>
      </w:r>
    </w:p>
    <w:p w14:paraId="6220525B" w14:textId="77777777" w:rsidR="00CE600C" w:rsidRDefault="00CE600C" w:rsidP="00A546DC">
      <w:pPr>
        <w:widowControl w:val="0"/>
        <w:autoSpaceDE w:val="0"/>
        <w:autoSpaceDN w:val="0"/>
        <w:adjustRightInd w:val="0"/>
        <w:rPr>
          <w:rFonts w:cs="Verdana"/>
          <w:color w:val="262626"/>
        </w:rPr>
      </w:pPr>
    </w:p>
    <w:p w14:paraId="19A74531" w14:textId="77777777" w:rsidR="00CE600C" w:rsidRDefault="00CE600C" w:rsidP="00A546DC">
      <w:pPr>
        <w:widowControl w:val="0"/>
        <w:autoSpaceDE w:val="0"/>
        <w:autoSpaceDN w:val="0"/>
        <w:adjustRightInd w:val="0"/>
        <w:rPr>
          <w:rFonts w:cs="Verdana"/>
          <w:color w:val="262626"/>
        </w:rPr>
      </w:pPr>
    </w:p>
    <w:p w14:paraId="41162C63" w14:textId="77777777" w:rsidR="00CE600C" w:rsidRDefault="00CE600C" w:rsidP="00A546DC">
      <w:pPr>
        <w:widowControl w:val="0"/>
        <w:autoSpaceDE w:val="0"/>
        <w:autoSpaceDN w:val="0"/>
        <w:adjustRightInd w:val="0"/>
        <w:rPr>
          <w:rFonts w:cs="Verdana"/>
          <w:color w:val="262626"/>
        </w:rPr>
      </w:pPr>
    </w:p>
    <w:p w14:paraId="5C2D1A1C" w14:textId="01C8EE52" w:rsidR="00CE600C" w:rsidRDefault="00EC0BBA" w:rsidP="00A546DC">
      <w:pPr>
        <w:widowControl w:val="0"/>
        <w:autoSpaceDE w:val="0"/>
        <w:autoSpaceDN w:val="0"/>
        <w:adjustRightInd w:val="0"/>
        <w:rPr>
          <w:rFonts w:cs="Verdana"/>
          <w:b/>
          <w:color w:val="262626"/>
        </w:rPr>
      </w:pPr>
      <w:r w:rsidRPr="00EC0BBA">
        <w:rPr>
          <w:rFonts w:cs="Verdana"/>
          <w:b/>
          <w:color w:val="262626"/>
        </w:rPr>
        <w:t>Fuel Cell Market and Technologies</w:t>
      </w:r>
    </w:p>
    <w:p w14:paraId="1A013E6D" w14:textId="3CC48CE7" w:rsidR="00A51891" w:rsidRPr="00A51891" w:rsidRDefault="00A51891" w:rsidP="00A546DC">
      <w:pPr>
        <w:widowControl w:val="0"/>
        <w:autoSpaceDE w:val="0"/>
        <w:autoSpaceDN w:val="0"/>
        <w:adjustRightInd w:val="0"/>
        <w:rPr>
          <w:rFonts w:cs="Verdana"/>
          <w:b/>
          <w:i/>
          <w:color w:val="262626"/>
        </w:rPr>
      </w:pPr>
      <w:r w:rsidRPr="00A51891">
        <w:rPr>
          <w:rFonts w:cs="Verdana"/>
          <w:b/>
          <w:i/>
          <w:color w:val="262626"/>
        </w:rPr>
        <w:t>Market and Developments</w:t>
      </w:r>
    </w:p>
    <w:p w14:paraId="494F9C95" w14:textId="4EE617F2" w:rsidR="00CE600C" w:rsidRDefault="005672A4" w:rsidP="00A546DC">
      <w:pPr>
        <w:widowControl w:val="0"/>
        <w:autoSpaceDE w:val="0"/>
        <w:autoSpaceDN w:val="0"/>
        <w:adjustRightInd w:val="0"/>
        <w:rPr>
          <w:rFonts w:cs="Verdana"/>
          <w:color w:val="262626"/>
        </w:rPr>
      </w:pPr>
      <w:r>
        <w:rPr>
          <w:rFonts w:cs="Verdana"/>
          <w:color w:val="262626"/>
        </w:rPr>
        <w:t xml:space="preserve">The global fuel cell market in terms of installed capacity is expected to grow over 22% annually from 2014 to 2020, from 160 megawatts today to over 664 megawatts in 2020.  In 2013 50,000 units were shipped, expected to increase to </w:t>
      </w:r>
      <w:r w:rsidR="005D220B">
        <w:rPr>
          <w:rFonts w:cs="Verdana"/>
          <w:color w:val="262626"/>
        </w:rPr>
        <w:t>almost 800,000 in 2020 – a 50% increase per year.</w:t>
      </w:r>
      <w:r w:rsidR="00732875">
        <w:rPr>
          <w:rStyle w:val="FootnoteReference"/>
          <w:rFonts w:cs="Verdana"/>
          <w:color w:val="262626"/>
        </w:rPr>
        <w:footnoteReference w:id="68"/>
      </w:r>
      <w:r w:rsidR="005D220B">
        <w:rPr>
          <w:rFonts w:cs="Verdana"/>
          <w:color w:val="262626"/>
        </w:rPr>
        <w:t xml:space="preserve"> </w:t>
      </w:r>
    </w:p>
    <w:p w14:paraId="7BAE7A03" w14:textId="77777777" w:rsidR="005D220B" w:rsidRDefault="005D220B" w:rsidP="00A546DC">
      <w:pPr>
        <w:widowControl w:val="0"/>
        <w:autoSpaceDE w:val="0"/>
        <w:autoSpaceDN w:val="0"/>
        <w:adjustRightInd w:val="0"/>
        <w:rPr>
          <w:rFonts w:cs="Verdana"/>
          <w:color w:val="262626"/>
        </w:rPr>
      </w:pPr>
    </w:p>
    <w:p w14:paraId="6F8BC7B0" w14:textId="703A2228" w:rsidR="005D220B" w:rsidRDefault="005D220B" w:rsidP="00A546DC">
      <w:pPr>
        <w:widowControl w:val="0"/>
        <w:autoSpaceDE w:val="0"/>
        <w:autoSpaceDN w:val="0"/>
        <w:adjustRightInd w:val="0"/>
        <w:rPr>
          <w:rFonts w:cs="Verdana"/>
          <w:color w:val="262626"/>
        </w:rPr>
      </w:pPr>
      <w:r>
        <w:rPr>
          <w:rFonts w:cs="Verdana"/>
          <w:color w:val="262626"/>
        </w:rPr>
        <w:t xml:space="preserve">Fuel cells combine hydrogen and oxygen in a chemical reaction to produce electricity.  Natural gas and methanol are examples of sources of hydrogen.  Although there may be minor emissions depending on the source of hydrogen, the primary waste product from the reaction is water. Water is another potential source of hydrogen. </w:t>
      </w:r>
    </w:p>
    <w:p w14:paraId="013D52B5" w14:textId="77777777" w:rsidR="005D220B" w:rsidRDefault="005D220B" w:rsidP="00A546DC">
      <w:pPr>
        <w:widowControl w:val="0"/>
        <w:autoSpaceDE w:val="0"/>
        <w:autoSpaceDN w:val="0"/>
        <w:adjustRightInd w:val="0"/>
        <w:rPr>
          <w:rFonts w:cs="Verdana"/>
          <w:color w:val="262626"/>
        </w:rPr>
      </w:pPr>
    </w:p>
    <w:p w14:paraId="289A907E" w14:textId="6AAB8A17" w:rsidR="005D220B" w:rsidRDefault="00A51891" w:rsidP="00A546DC">
      <w:pPr>
        <w:widowControl w:val="0"/>
        <w:autoSpaceDE w:val="0"/>
        <w:autoSpaceDN w:val="0"/>
        <w:adjustRightInd w:val="0"/>
        <w:rPr>
          <w:rFonts w:cs="Verdana"/>
          <w:color w:val="262626"/>
        </w:rPr>
      </w:pPr>
      <w:r>
        <w:rPr>
          <w:rFonts w:cs="Verdana"/>
          <w:color w:val="262626"/>
        </w:rPr>
        <w:t xml:space="preserve">DOE and private research dollars have made significant strides in creating a viable market for fuel cells.  These efforts have reduced costs by more than 50% since 2006 and 30% since 2008.  Fuel cell “durability had doubled.” Moreover, the amount of platinum (the principle </w:t>
      </w:r>
      <w:r w:rsidR="004A21C3">
        <w:rPr>
          <w:rFonts w:cs="Verdana"/>
          <w:color w:val="262626"/>
        </w:rPr>
        <w:t xml:space="preserve">and very expensive </w:t>
      </w:r>
      <w:r>
        <w:rPr>
          <w:rFonts w:cs="Verdana"/>
          <w:color w:val="262626"/>
        </w:rPr>
        <w:t>catalyst in fuel cell</w:t>
      </w:r>
      <w:r w:rsidR="00732875">
        <w:rPr>
          <w:rFonts w:cs="Verdana"/>
          <w:color w:val="262626"/>
        </w:rPr>
        <w:t>s) has declined 80% since 2005.</w:t>
      </w:r>
      <w:r w:rsidR="00E163A5">
        <w:rPr>
          <w:rStyle w:val="FootnoteReference"/>
          <w:rFonts w:cs="Verdana"/>
          <w:color w:val="262626"/>
        </w:rPr>
        <w:footnoteReference w:id="69"/>
      </w:r>
    </w:p>
    <w:p w14:paraId="323B25C0" w14:textId="77777777" w:rsidR="00AD1B12" w:rsidRDefault="00AD1B12" w:rsidP="00A546DC">
      <w:pPr>
        <w:widowControl w:val="0"/>
        <w:autoSpaceDE w:val="0"/>
        <w:autoSpaceDN w:val="0"/>
        <w:adjustRightInd w:val="0"/>
        <w:rPr>
          <w:rFonts w:cs="Verdana"/>
          <w:color w:val="262626"/>
        </w:rPr>
      </w:pPr>
    </w:p>
    <w:p w14:paraId="2223F82A" w14:textId="51DD96BB" w:rsidR="00AD1B12" w:rsidRDefault="00AD1B12" w:rsidP="00A546DC">
      <w:pPr>
        <w:widowControl w:val="0"/>
        <w:autoSpaceDE w:val="0"/>
        <w:autoSpaceDN w:val="0"/>
        <w:adjustRightInd w:val="0"/>
        <w:rPr>
          <w:rFonts w:cs="Verdana"/>
          <w:color w:val="262626"/>
        </w:rPr>
      </w:pPr>
      <w:r>
        <w:rPr>
          <w:rFonts w:cs="Verdana"/>
          <w:color w:val="262626"/>
        </w:rPr>
        <w:t>In 2013 North America d</w:t>
      </w:r>
      <w:r w:rsidR="005B6EAA">
        <w:rPr>
          <w:rFonts w:cs="Verdana"/>
          <w:color w:val="262626"/>
        </w:rPr>
        <w:t>ominated the market with over 42</w:t>
      </w:r>
      <w:r>
        <w:rPr>
          <w:rFonts w:cs="Verdana"/>
          <w:color w:val="262626"/>
        </w:rPr>
        <w:t xml:space="preserve">% of installed capacity.  It is expected to maintain the lead through 2020 with commericialization of fuel-cell powered vehicles.  Asia followed with </w:t>
      </w:r>
      <w:r w:rsidR="005B6EAA">
        <w:rPr>
          <w:rFonts w:cs="Verdana"/>
          <w:color w:val="262626"/>
        </w:rPr>
        <w:t>about 37</w:t>
      </w:r>
      <w:r>
        <w:rPr>
          <w:rFonts w:cs="Verdana"/>
          <w:color w:val="262626"/>
        </w:rPr>
        <w:t xml:space="preserve">% of installed capacity.  Europe is expected to have the fastest growth in installed capacity (33% per year) over the next six years.  The leading countries are Germany, Sweden, Denmark, </w:t>
      </w:r>
      <w:r w:rsidR="004A21C3">
        <w:rPr>
          <w:rFonts w:cs="Verdana"/>
          <w:color w:val="262626"/>
        </w:rPr>
        <w:t xml:space="preserve">and </w:t>
      </w:r>
      <w:r>
        <w:rPr>
          <w:rFonts w:cs="Verdana"/>
          <w:color w:val="262626"/>
        </w:rPr>
        <w:t xml:space="preserve">Norway, which have already begun to invest in fuel cell infrastructure. </w:t>
      </w:r>
      <w:r w:rsidR="00DF18FE">
        <w:rPr>
          <w:rFonts w:cs="Verdana"/>
          <w:color w:val="262626"/>
        </w:rPr>
        <w:t xml:space="preserve">  Lack of infrastructure and relative high cost is expected to hamper fuel cell deployment in developing countries.</w:t>
      </w:r>
      <w:r w:rsidR="00E163A5">
        <w:rPr>
          <w:rStyle w:val="FootnoteReference"/>
          <w:rFonts w:cs="Verdana"/>
          <w:color w:val="262626"/>
        </w:rPr>
        <w:footnoteReference w:id="70"/>
      </w:r>
      <w:r w:rsidR="00DF18FE">
        <w:rPr>
          <w:rFonts w:cs="Verdana"/>
          <w:color w:val="262626"/>
        </w:rPr>
        <w:t xml:space="preserve"> </w:t>
      </w:r>
    </w:p>
    <w:p w14:paraId="606AB36C" w14:textId="77777777" w:rsidR="00AD1B12" w:rsidRDefault="00AD1B12" w:rsidP="00A546DC">
      <w:pPr>
        <w:widowControl w:val="0"/>
        <w:autoSpaceDE w:val="0"/>
        <w:autoSpaceDN w:val="0"/>
        <w:adjustRightInd w:val="0"/>
        <w:rPr>
          <w:rFonts w:cs="Verdana"/>
          <w:color w:val="262626"/>
        </w:rPr>
      </w:pPr>
    </w:p>
    <w:p w14:paraId="4BB9F0BF" w14:textId="5326C2FB" w:rsidR="00AD1B12" w:rsidRDefault="00AD1B12" w:rsidP="00A546DC">
      <w:pPr>
        <w:widowControl w:val="0"/>
        <w:autoSpaceDE w:val="0"/>
        <w:autoSpaceDN w:val="0"/>
        <w:adjustRightInd w:val="0"/>
        <w:rPr>
          <w:rFonts w:cs="Verdana"/>
          <w:color w:val="262626"/>
        </w:rPr>
      </w:pPr>
      <w:r>
        <w:rPr>
          <w:rFonts w:cs="Verdana"/>
          <w:color w:val="262626"/>
        </w:rPr>
        <w:t>This sector is highly concentrated at the m</w:t>
      </w:r>
      <w:r w:rsidR="004A21C3">
        <w:rPr>
          <w:rFonts w:cs="Verdana"/>
          <w:color w:val="262626"/>
        </w:rPr>
        <w:t>oment.  Five companies comprise</w:t>
      </w:r>
      <w:r>
        <w:rPr>
          <w:rFonts w:cs="Verdana"/>
          <w:color w:val="262626"/>
        </w:rPr>
        <w:t xml:space="preserve"> 80% of the market – Fuel Cell Energy had 30% market share in 2013.  Other dominant players are Ballard, Toshiba, Panas</w:t>
      </w:r>
      <w:r w:rsidR="005B6EAA">
        <w:rPr>
          <w:rFonts w:cs="Verdana"/>
          <w:color w:val="262626"/>
        </w:rPr>
        <w:t>onic, and Clearedge.</w:t>
      </w:r>
      <w:r w:rsidR="005B6EAA">
        <w:rPr>
          <w:rStyle w:val="FootnoteReference"/>
          <w:rFonts w:cs="Verdana"/>
          <w:color w:val="262626"/>
        </w:rPr>
        <w:footnoteReference w:id="71"/>
      </w:r>
    </w:p>
    <w:p w14:paraId="39D894D9" w14:textId="77777777" w:rsidR="006E31DD" w:rsidRDefault="006E31DD" w:rsidP="00A546DC">
      <w:pPr>
        <w:widowControl w:val="0"/>
        <w:autoSpaceDE w:val="0"/>
        <w:autoSpaceDN w:val="0"/>
        <w:adjustRightInd w:val="0"/>
        <w:rPr>
          <w:rFonts w:cs="Verdana"/>
          <w:color w:val="262626"/>
        </w:rPr>
      </w:pPr>
    </w:p>
    <w:p w14:paraId="44D32299" w14:textId="22462C14" w:rsidR="006E31DD" w:rsidRDefault="006E31DD" w:rsidP="00A546DC">
      <w:pPr>
        <w:widowControl w:val="0"/>
        <w:autoSpaceDE w:val="0"/>
        <w:autoSpaceDN w:val="0"/>
        <w:adjustRightInd w:val="0"/>
        <w:rPr>
          <w:rFonts w:cs="Verdana"/>
          <w:color w:val="262626"/>
        </w:rPr>
      </w:pPr>
      <w:r>
        <w:rPr>
          <w:rFonts w:cs="Verdana"/>
          <w:color w:val="262626"/>
        </w:rPr>
        <w:t>The top five leading states are New York, Connecticut, Ohio, California, and South Carolina.  California, Connecticut, and New York finance fuel cells through PACE (Property Assessed Clean Energy) programs.</w:t>
      </w:r>
      <w:r w:rsidR="0017018E">
        <w:rPr>
          <w:rStyle w:val="FootnoteReference"/>
          <w:rFonts w:cs="Verdana"/>
          <w:color w:val="262626"/>
        </w:rPr>
        <w:footnoteReference w:id="72"/>
      </w:r>
    </w:p>
    <w:p w14:paraId="64126E60" w14:textId="77777777" w:rsidR="00834C53" w:rsidRDefault="00834C53" w:rsidP="00A546DC">
      <w:pPr>
        <w:widowControl w:val="0"/>
        <w:autoSpaceDE w:val="0"/>
        <w:autoSpaceDN w:val="0"/>
        <w:adjustRightInd w:val="0"/>
        <w:rPr>
          <w:rFonts w:cs="Verdana"/>
          <w:color w:val="262626"/>
        </w:rPr>
      </w:pPr>
    </w:p>
    <w:p w14:paraId="2FB95AD1" w14:textId="77777777" w:rsidR="00AC73E6" w:rsidRDefault="00834C53" w:rsidP="00834C53">
      <w:pPr>
        <w:widowControl w:val="0"/>
        <w:autoSpaceDE w:val="0"/>
        <w:autoSpaceDN w:val="0"/>
        <w:adjustRightInd w:val="0"/>
        <w:ind w:left="1440" w:firstLine="720"/>
        <w:rPr>
          <w:rFonts w:cs="Verdana"/>
          <w:color w:val="262626"/>
        </w:rPr>
      </w:pPr>
      <w:r>
        <w:rPr>
          <w:rFonts w:cs="Verdana"/>
          <w:color w:val="262626"/>
        </w:rPr>
        <w:t xml:space="preserve">           </w:t>
      </w:r>
    </w:p>
    <w:p w14:paraId="4CB0780C" w14:textId="77777777" w:rsidR="00E05307" w:rsidRDefault="00E05307" w:rsidP="00834C53">
      <w:pPr>
        <w:widowControl w:val="0"/>
        <w:autoSpaceDE w:val="0"/>
        <w:autoSpaceDN w:val="0"/>
        <w:adjustRightInd w:val="0"/>
        <w:ind w:left="1440" w:firstLine="720"/>
        <w:rPr>
          <w:rFonts w:cs="Verdana"/>
          <w:b/>
          <w:color w:val="262626"/>
          <w:sz w:val="20"/>
          <w:szCs w:val="20"/>
        </w:rPr>
      </w:pPr>
    </w:p>
    <w:p w14:paraId="3ACCD759" w14:textId="74DDC915" w:rsidR="00834C53" w:rsidRPr="00834C53" w:rsidRDefault="00834C53" w:rsidP="00834C53">
      <w:pPr>
        <w:widowControl w:val="0"/>
        <w:autoSpaceDE w:val="0"/>
        <w:autoSpaceDN w:val="0"/>
        <w:adjustRightInd w:val="0"/>
        <w:ind w:left="1440" w:firstLine="720"/>
        <w:rPr>
          <w:rFonts w:cs="Verdana"/>
          <w:b/>
          <w:color w:val="262626"/>
          <w:sz w:val="20"/>
          <w:szCs w:val="20"/>
        </w:rPr>
      </w:pPr>
      <w:r w:rsidRPr="00834C53">
        <w:rPr>
          <w:rFonts w:cs="Verdana"/>
          <w:b/>
          <w:color w:val="262626"/>
          <w:sz w:val="20"/>
          <w:szCs w:val="20"/>
        </w:rPr>
        <w:t>California Zero Emission Vehicle Goals</w:t>
      </w:r>
    </w:p>
    <w:p w14:paraId="322148E5" w14:textId="549F5453" w:rsidR="00834C53" w:rsidRDefault="00834C53" w:rsidP="00834C53">
      <w:pPr>
        <w:widowControl w:val="0"/>
        <w:autoSpaceDE w:val="0"/>
        <w:autoSpaceDN w:val="0"/>
        <w:adjustRightInd w:val="0"/>
        <w:ind w:left="2160"/>
        <w:rPr>
          <w:rFonts w:cs="Verdana"/>
          <w:color w:val="262626"/>
        </w:rPr>
      </w:pPr>
      <w:r>
        <w:rPr>
          <w:rFonts w:cs="Verdana"/>
          <w:noProof/>
          <w:color w:val="262626"/>
        </w:rPr>
        <w:drawing>
          <wp:inline distT="0" distB="0" distL="0" distR="0" wp14:anchorId="7183ED31" wp14:editId="688B0027">
            <wp:extent cx="2743200" cy="1698006"/>
            <wp:effectExtent l="0" t="0" r="0" b="381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839" cy="1698401"/>
                    </a:xfrm>
                    <a:prstGeom prst="rect">
                      <a:avLst/>
                    </a:prstGeom>
                    <a:noFill/>
                    <a:ln>
                      <a:noFill/>
                    </a:ln>
                  </pic:spPr>
                </pic:pic>
              </a:graphicData>
            </a:graphic>
          </wp:inline>
        </w:drawing>
      </w:r>
    </w:p>
    <w:p w14:paraId="5F2BFB66" w14:textId="77777777" w:rsidR="0066718A" w:rsidRDefault="00834C53" w:rsidP="0066718A">
      <w:pPr>
        <w:widowControl w:val="0"/>
        <w:autoSpaceDE w:val="0"/>
        <w:autoSpaceDN w:val="0"/>
        <w:adjustRightInd w:val="0"/>
        <w:ind w:left="2160"/>
        <w:rPr>
          <w:rFonts w:cs="Verdana"/>
          <w:color w:val="262626"/>
          <w:sz w:val="16"/>
          <w:szCs w:val="16"/>
        </w:rPr>
      </w:pPr>
      <w:r>
        <w:rPr>
          <w:rFonts w:cs="Verdana"/>
          <w:color w:val="262626"/>
          <w:sz w:val="16"/>
          <w:szCs w:val="16"/>
        </w:rPr>
        <w:t xml:space="preserve">                  </w:t>
      </w:r>
      <w:r w:rsidRPr="00834C53">
        <w:rPr>
          <w:rFonts w:cs="Verdana"/>
          <w:color w:val="262626"/>
          <w:sz w:val="16"/>
          <w:szCs w:val="16"/>
        </w:rPr>
        <w:t>Source: California Energy Commission</w:t>
      </w:r>
    </w:p>
    <w:p w14:paraId="6D12C7B6" w14:textId="77777777" w:rsidR="002A18A2" w:rsidRDefault="002A18A2" w:rsidP="002A18A2">
      <w:pPr>
        <w:widowControl w:val="0"/>
        <w:autoSpaceDE w:val="0"/>
        <w:autoSpaceDN w:val="0"/>
        <w:adjustRightInd w:val="0"/>
        <w:rPr>
          <w:rFonts w:cs="Verdana"/>
          <w:color w:val="262626"/>
        </w:rPr>
      </w:pPr>
    </w:p>
    <w:p w14:paraId="04847DD8" w14:textId="1112F047" w:rsidR="002A18A2" w:rsidRPr="002A18A2" w:rsidRDefault="002A18A2" w:rsidP="002A18A2">
      <w:pPr>
        <w:widowControl w:val="0"/>
        <w:autoSpaceDE w:val="0"/>
        <w:autoSpaceDN w:val="0"/>
        <w:adjustRightInd w:val="0"/>
        <w:rPr>
          <w:rFonts w:cs="Verdana"/>
          <w:color w:val="262626"/>
        </w:rPr>
      </w:pPr>
      <w:r>
        <w:rPr>
          <w:rFonts w:cs="Verdana"/>
          <w:color w:val="262626"/>
        </w:rPr>
        <w:t>In terms of what’s know</w:t>
      </w:r>
      <w:r w:rsidR="004A21C3">
        <w:rPr>
          <w:rFonts w:cs="Verdana"/>
          <w:color w:val="262626"/>
        </w:rPr>
        <w:t>n</w:t>
      </w:r>
      <w:r>
        <w:rPr>
          <w:rFonts w:cs="Verdana"/>
          <w:color w:val="262626"/>
        </w:rPr>
        <w:t xml:space="preserve"> as the “micro-CHP market,” fuel cells have overtaken combustion turbines (i.e. diesel generators) in the global residential market.  This is being driven mainly by Japan, with Germany following.  Residential fuel cells represent 64% of all sales.</w:t>
      </w:r>
      <w:r>
        <w:rPr>
          <w:rStyle w:val="FootnoteReference"/>
          <w:rFonts w:cs="Verdana"/>
          <w:color w:val="262626"/>
        </w:rPr>
        <w:footnoteReference w:id="73"/>
      </w:r>
      <w:r>
        <w:rPr>
          <w:rFonts w:cs="Verdana"/>
          <w:color w:val="262626"/>
        </w:rPr>
        <w:t xml:space="preserve"> </w:t>
      </w:r>
    </w:p>
    <w:p w14:paraId="626BE56C" w14:textId="77777777" w:rsidR="008E738B" w:rsidRDefault="008E738B" w:rsidP="0066718A">
      <w:pPr>
        <w:widowControl w:val="0"/>
        <w:autoSpaceDE w:val="0"/>
        <w:autoSpaceDN w:val="0"/>
        <w:adjustRightInd w:val="0"/>
        <w:ind w:left="2160"/>
        <w:rPr>
          <w:rFonts w:cs="Verdana"/>
          <w:color w:val="262626"/>
          <w:sz w:val="16"/>
          <w:szCs w:val="16"/>
        </w:rPr>
      </w:pPr>
    </w:p>
    <w:p w14:paraId="5B5E4153" w14:textId="35585B43" w:rsidR="00A51891" w:rsidRPr="0066718A" w:rsidRDefault="00A51891" w:rsidP="0066718A">
      <w:pPr>
        <w:widowControl w:val="0"/>
        <w:autoSpaceDE w:val="0"/>
        <w:autoSpaceDN w:val="0"/>
        <w:adjustRightInd w:val="0"/>
        <w:rPr>
          <w:rFonts w:cs="Verdana"/>
          <w:color w:val="262626"/>
          <w:sz w:val="16"/>
          <w:szCs w:val="16"/>
        </w:rPr>
      </w:pPr>
      <w:r w:rsidRPr="00A51891">
        <w:rPr>
          <w:rFonts w:cs="Verdana"/>
          <w:b/>
          <w:i/>
          <w:color w:val="262626"/>
        </w:rPr>
        <w:t>Technologies</w:t>
      </w:r>
    </w:p>
    <w:p w14:paraId="16EBCAD1" w14:textId="1E988626" w:rsidR="0017419B" w:rsidRDefault="00E31A0B" w:rsidP="00A546DC">
      <w:pPr>
        <w:widowControl w:val="0"/>
        <w:autoSpaceDE w:val="0"/>
        <w:autoSpaceDN w:val="0"/>
        <w:adjustRightInd w:val="0"/>
        <w:rPr>
          <w:rFonts w:cs="Verdana"/>
          <w:color w:val="262626"/>
        </w:rPr>
      </w:pPr>
      <w:r>
        <w:rPr>
          <w:rFonts w:cs="Verdana"/>
          <w:color w:val="262626"/>
        </w:rPr>
        <w:t xml:space="preserve">There </w:t>
      </w:r>
      <w:r w:rsidR="004A21C3">
        <w:rPr>
          <w:rFonts w:cs="Verdana"/>
          <w:color w:val="262626"/>
        </w:rPr>
        <w:t xml:space="preserve">are </w:t>
      </w:r>
      <w:r>
        <w:rPr>
          <w:rFonts w:cs="Verdana"/>
          <w:color w:val="262626"/>
        </w:rPr>
        <w:t>three applications for fuel cells: portable, stationary</w:t>
      </w:r>
      <w:r w:rsidR="00732875">
        <w:rPr>
          <w:rStyle w:val="FootnoteReference"/>
          <w:rFonts w:cs="Verdana"/>
          <w:color w:val="262626"/>
        </w:rPr>
        <w:footnoteReference w:id="74"/>
      </w:r>
      <w:r>
        <w:rPr>
          <w:rFonts w:cs="Verdana"/>
          <w:color w:val="262626"/>
        </w:rPr>
        <w:t xml:space="preserve">, </w:t>
      </w:r>
      <w:r w:rsidR="0017419B">
        <w:rPr>
          <w:rFonts w:cs="Verdana"/>
          <w:color w:val="262626"/>
        </w:rPr>
        <w:t>and transportation.  In terms of the electric grid and transportation, a portable fuel application would be in the context of “auxiliary power units,” not used for propulsion but, for instance, for purposes of refrigeration in trucks and RVs.  Stationary applications would be for residences, combined-heat and power in commercial and industrial contexts, backup power supply (UPS or uninterrupted power supply) when the grid fails, such as at data centers or hospitals.</w:t>
      </w:r>
      <w:r w:rsidR="000E6E6F">
        <w:rPr>
          <w:rStyle w:val="FootnoteReference"/>
          <w:rFonts w:cs="Verdana"/>
          <w:color w:val="262626"/>
        </w:rPr>
        <w:footnoteReference w:id="75"/>
      </w:r>
      <w:r w:rsidR="0017419B">
        <w:rPr>
          <w:rFonts w:cs="Verdana"/>
          <w:color w:val="262626"/>
        </w:rPr>
        <w:t xml:space="preserve">  </w:t>
      </w:r>
    </w:p>
    <w:p w14:paraId="4E29B46C" w14:textId="77777777" w:rsidR="0017419B" w:rsidRDefault="0017419B" w:rsidP="00A546DC">
      <w:pPr>
        <w:widowControl w:val="0"/>
        <w:autoSpaceDE w:val="0"/>
        <w:autoSpaceDN w:val="0"/>
        <w:adjustRightInd w:val="0"/>
        <w:rPr>
          <w:rFonts w:cs="Verdana"/>
          <w:color w:val="262626"/>
        </w:rPr>
      </w:pPr>
    </w:p>
    <w:p w14:paraId="30FB79D0" w14:textId="770CF461" w:rsidR="0017419B" w:rsidRDefault="0017419B" w:rsidP="00A546DC">
      <w:pPr>
        <w:widowControl w:val="0"/>
        <w:autoSpaceDE w:val="0"/>
        <w:autoSpaceDN w:val="0"/>
        <w:adjustRightInd w:val="0"/>
        <w:rPr>
          <w:rFonts w:cs="Verdana"/>
          <w:color w:val="262626"/>
        </w:rPr>
      </w:pPr>
      <w:r>
        <w:rPr>
          <w:rFonts w:cs="Verdana"/>
          <w:color w:val="262626"/>
        </w:rPr>
        <w:t xml:space="preserve">Proton exchange membrane fuel cells (PEMFC) account most installed capacity globally (40%) and most shipments (88%) due to their wide range of applications </w:t>
      </w:r>
      <w:r w:rsidR="00741654">
        <w:rPr>
          <w:rFonts w:cs="Verdana"/>
          <w:color w:val="262626"/>
        </w:rPr>
        <w:t>–</w:t>
      </w:r>
      <w:r>
        <w:rPr>
          <w:rFonts w:cs="Verdana"/>
          <w:color w:val="262626"/>
        </w:rPr>
        <w:t xml:space="preserve"> </w:t>
      </w:r>
      <w:r w:rsidR="00741654">
        <w:rPr>
          <w:rFonts w:cs="Verdana"/>
          <w:color w:val="262626"/>
        </w:rPr>
        <w:t>vehicles, telecommunications, and primary and backup systems.  Molten carbonate fuel cells (MCFC) take second place in terms of installed capacity and are expected to experience the largest annual growth over the next 6 years – 56%.  They are larger systems used in combined heath and power contexts, such as at industrial facilities.</w:t>
      </w:r>
      <w:r w:rsidR="000E6E6F">
        <w:rPr>
          <w:rStyle w:val="FootnoteReference"/>
          <w:rFonts w:cs="Verdana"/>
          <w:color w:val="262626"/>
        </w:rPr>
        <w:footnoteReference w:id="76"/>
      </w:r>
      <w:r w:rsidR="00741654">
        <w:rPr>
          <w:rFonts w:cs="Verdana"/>
          <w:color w:val="262626"/>
        </w:rPr>
        <w:t xml:space="preserve"> </w:t>
      </w:r>
    </w:p>
    <w:p w14:paraId="0EA1AA63" w14:textId="77777777" w:rsidR="00741654" w:rsidRDefault="00741654" w:rsidP="00A546DC">
      <w:pPr>
        <w:widowControl w:val="0"/>
        <w:autoSpaceDE w:val="0"/>
        <w:autoSpaceDN w:val="0"/>
        <w:adjustRightInd w:val="0"/>
        <w:rPr>
          <w:rFonts w:cs="Verdana"/>
          <w:color w:val="262626"/>
        </w:rPr>
      </w:pPr>
    </w:p>
    <w:p w14:paraId="6B1263A4" w14:textId="46CF7EB1" w:rsidR="00741654" w:rsidRDefault="00741654" w:rsidP="00A546DC">
      <w:pPr>
        <w:widowControl w:val="0"/>
        <w:autoSpaceDE w:val="0"/>
        <w:autoSpaceDN w:val="0"/>
        <w:adjustRightInd w:val="0"/>
        <w:rPr>
          <w:rFonts w:cs="Verdana"/>
          <w:color w:val="262626"/>
        </w:rPr>
      </w:pPr>
      <w:r>
        <w:rPr>
          <w:rFonts w:cs="Verdana"/>
          <w:color w:val="262626"/>
        </w:rPr>
        <w:t>The DOE is funding research with UPS to fit 15 vans with fuel cell/hybrid technology and to develop a delivery van with 150-mile radius.  It has a similar effort with FedEx.  DOE is also assisting Sprint with instal</w:t>
      </w:r>
      <w:r w:rsidR="004A21C3">
        <w:rPr>
          <w:rFonts w:cs="Verdana"/>
          <w:color w:val="262626"/>
        </w:rPr>
        <w:t>ling fuel cell backup systems</w:t>
      </w:r>
      <w:r>
        <w:rPr>
          <w:rFonts w:cs="Verdana"/>
          <w:color w:val="262626"/>
        </w:rPr>
        <w:t xml:space="preserve"> “for rooftop telecommunications equipment.”</w:t>
      </w:r>
      <w:r w:rsidR="008015DE" w:rsidRPr="008015DE">
        <w:rPr>
          <w:rStyle w:val="FootnoteReference"/>
          <w:rFonts w:cs="Verdana"/>
          <w:color w:val="262626"/>
        </w:rPr>
        <w:t xml:space="preserve"> </w:t>
      </w:r>
      <w:r w:rsidR="008015DE">
        <w:rPr>
          <w:rStyle w:val="FootnoteReference"/>
          <w:rFonts w:cs="Verdana"/>
          <w:color w:val="262626"/>
        </w:rPr>
        <w:footnoteReference w:id="77"/>
      </w:r>
      <w:r>
        <w:rPr>
          <w:rFonts w:cs="Verdana"/>
          <w:color w:val="262626"/>
        </w:rPr>
        <w:t xml:space="preserve"> </w:t>
      </w:r>
    </w:p>
    <w:p w14:paraId="1E394560" w14:textId="77777777" w:rsidR="00741654" w:rsidRDefault="00741654" w:rsidP="00A546DC">
      <w:pPr>
        <w:widowControl w:val="0"/>
        <w:autoSpaceDE w:val="0"/>
        <w:autoSpaceDN w:val="0"/>
        <w:adjustRightInd w:val="0"/>
        <w:rPr>
          <w:rFonts w:cs="Verdana"/>
          <w:color w:val="262626"/>
        </w:rPr>
      </w:pPr>
    </w:p>
    <w:p w14:paraId="16272A20" w14:textId="23A31D5C" w:rsidR="00741654" w:rsidRDefault="00741654" w:rsidP="00A546DC">
      <w:pPr>
        <w:widowControl w:val="0"/>
        <w:autoSpaceDE w:val="0"/>
        <w:autoSpaceDN w:val="0"/>
        <w:adjustRightInd w:val="0"/>
        <w:rPr>
          <w:rFonts w:cs="Verdana"/>
          <w:color w:val="262626"/>
        </w:rPr>
      </w:pPr>
      <w:r>
        <w:rPr>
          <w:rFonts w:cs="Verdana"/>
          <w:color w:val="262626"/>
        </w:rPr>
        <w:t>Moreover, DOE is funding research to gather data on fuel cell-powered cars with Toyota, Honda, GM, Hyundai, Nissan and Daimler Benz.</w:t>
      </w:r>
      <w:r w:rsidR="008015DE">
        <w:rPr>
          <w:rStyle w:val="FootnoteReference"/>
          <w:rFonts w:cs="Verdana"/>
          <w:color w:val="262626"/>
        </w:rPr>
        <w:footnoteReference w:id="78"/>
      </w:r>
      <w:r>
        <w:rPr>
          <w:rFonts w:cs="Verdana"/>
          <w:color w:val="262626"/>
        </w:rPr>
        <w:t xml:space="preserve">  Hyundai has begun delivery of a fuel cell-powered hybrid in Southern California.</w:t>
      </w:r>
      <w:r w:rsidR="008015DE">
        <w:rPr>
          <w:rStyle w:val="FootnoteReference"/>
          <w:rFonts w:cs="Verdana"/>
          <w:color w:val="262626"/>
        </w:rPr>
        <w:footnoteReference w:id="79"/>
      </w:r>
    </w:p>
    <w:p w14:paraId="524060B4" w14:textId="77777777" w:rsidR="00741654" w:rsidRDefault="00741654" w:rsidP="00A546DC">
      <w:pPr>
        <w:widowControl w:val="0"/>
        <w:autoSpaceDE w:val="0"/>
        <w:autoSpaceDN w:val="0"/>
        <w:adjustRightInd w:val="0"/>
        <w:rPr>
          <w:rFonts w:cs="Verdana"/>
          <w:color w:val="262626"/>
        </w:rPr>
      </w:pPr>
    </w:p>
    <w:p w14:paraId="0ACAB974" w14:textId="0AAF9071" w:rsidR="00741654" w:rsidRDefault="004E635D" w:rsidP="00A546DC">
      <w:pPr>
        <w:widowControl w:val="0"/>
        <w:autoSpaceDE w:val="0"/>
        <w:autoSpaceDN w:val="0"/>
        <w:adjustRightInd w:val="0"/>
        <w:rPr>
          <w:rFonts w:cs="Verdana"/>
          <w:b/>
          <w:color w:val="262626"/>
        </w:rPr>
      </w:pPr>
      <w:r>
        <w:rPr>
          <w:rFonts w:cs="Verdana"/>
          <w:b/>
          <w:color w:val="262626"/>
        </w:rPr>
        <w:t xml:space="preserve">Microgrid Markets and Technology </w:t>
      </w:r>
    </w:p>
    <w:p w14:paraId="394F9B7E" w14:textId="1B58A726" w:rsidR="00566374" w:rsidRDefault="00566374" w:rsidP="00566374">
      <w:pPr>
        <w:widowControl w:val="0"/>
        <w:autoSpaceDE w:val="0"/>
        <w:autoSpaceDN w:val="0"/>
        <w:adjustRightInd w:val="0"/>
        <w:rPr>
          <w:rFonts w:cs="Verdana"/>
          <w:color w:val="262626"/>
        </w:rPr>
      </w:pPr>
      <w:r>
        <w:rPr>
          <w:rFonts w:cs="Verdana"/>
          <w:color w:val="262626"/>
        </w:rPr>
        <w:t>DOE defines microgrids “a local energy grid with control capability, which means it can disconnect from the traditional grid and operate autonomously.”</w:t>
      </w:r>
      <w:r w:rsidR="00546C46">
        <w:rPr>
          <w:rStyle w:val="FootnoteReference"/>
          <w:rFonts w:cs="Verdana"/>
          <w:color w:val="262626"/>
        </w:rPr>
        <w:footnoteReference w:id="80"/>
      </w:r>
      <w:r>
        <w:rPr>
          <w:rFonts w:cs="Verdana"/>
          <w:color w:val="262626"/>
        </w:rPr>
        <w:t xml:space="preserve"> </w:t>
      </w:r>
    </w:p>
    <w:p w14:paraId="13772C3D" w14:textId="77777777" w:rsidR="00566374" w:rsidRDefault="00566374" w:rsidP="00566374">
      <w:pPr>
        <w:widowControl w:val="0"/>
        <w:autoSpaceDE w:val="0"/>
        <w:autoSpaceDN w:val="0"/>
        <w:adjustRightInd w:val="0"/>
        <w:rPr>
          <w:rFonts w:cs="Verdana"/>
          <w:color w:val="262626"/>
        </w:rPr>
      </w:pPr>
    </w:p>
    <w:p w14:paraId="5DE8D6EE" w14:textId="31D72A88" w:rsidR="00566374" w:rsidRDefault="00566374" w:rsidP="00566374">
      <w:pPr>
        <w:widowControl w:val="0"/>
        <w:autoSpaceDE w:val="0"/>
        <w:autoSpaceDN w:val="0"/>
        <w:adjustRightInd w:val="0"/>
        <w:rPr>
          <w:rFonts w:cs="Verdana"/>
          <w:color w:val="262626"/>
        </w:rPr>
      </w:pPr>
      <w:r>
        <w:rPr>
          <w:rFonts w:cs="Verdana"/>
          <w:color w:val="262626"/>
        </w:rPr>
        <w:t>Currently, the market seems concentrated at remote locations</w:t>
      </w:r>
      <w:r w:rsidR="00983587">
        <w:rPr>
          <w:rFonts w:cs="Verdana"/>
          <w:color w:val="262626"/>
        </w:rPr>
        <w:t xml:space="preserve"> (for instance, islands that rely on high-cost diesel) and facilities that require highly reliable power – military bases, research facilities, data centers.</w:t>
      </w:r>
      <w:r w:rsidR="00974B05">
        <w:rPr>
          <w:rStyle w:val="FootnoteReference"/>
          <w:rFonts w:cs="Verdana"/>
          <w:color w:val="262626"/>
        </w:rPr>
        <w:footnoteReference w:id="81"/>
      </w:r>
      <w:r w:rsidR="00983587">
        <w:rPr>
          <w:rFonts w:cs="Verdana"/>
          <w:color w:val="262626"/>
        </w:rPr>
        <w:t xml:space="preserve"> But GTM Research believes the market is ready to expand to communities, small cities, and public institutions, reaching 1.8 gigawatts by 2018.</w:t>
      </w:r>
      <w:r w:rsidR="00974B05">
        <w:rPr>
          <w:rStyle w:val="FootnoteReference"/>
          <w:rFonts w:cs="Verdana"/>
          <w:color w:val="262626"/>
        </w:rPr>
        <w:footnoteReference w:id="82"/>
      </w:r>
      <w:r w:rsidR="00983587">
        <w:rPr>
          <w:rFonts w:cs="Verdana"/>
          <w:color w:val="262626"/>
        </w:rPr>
        <w:t xml:space="preserve">  </w:t>
      </w:r>
    </w:p>
    <w:p w14:paraId="36538239" w14:textId="77777777" w:rsidR="00983587" w:rsidRDefault="00983587" w:rsidP="00566374">
      <w:pPr>
        <w:widowControl w:val="0"/>
        <w:autoSpaceDE w:val="0"/>
        <w:autoSpaceDN w:val="0"/>
        <w:adjustRightInd w:val="0"/>
        <w:rPr>
          <w:rFonts w:cs="Verdana"/>
          <w:color w:val="262626"/>
        </w:rPr>
      </w:pPr>
    </w:p>
    <w:p w14:paraId="3CB7A79D" w14:textId="18FAE27F" w:rsidR="00983587" w:rsidRDefault="004A21C3" w:rsidP="00566374">
      <w:pPr>
        <w:widowControl w:val="0"/>
        <w:autoSpaceDE w:val="0"/>
        <w:autoSpaceDN w:val="0"/>
        <w:adjustRightInd w:val="0"/>
        <w:rPr>
          <w:rFonts w:cs="Verdana"/>
          <w:color w:val="262626"/>
        </w:rPr>
      </w:pPr>
      <w:r>
        <w:rPr>
          <w:rFonts w:cs="Verdana"/>
          <w:color w:val="262626"/>
        </w:rPr>
        <w:t>The</w:t>
      </w:r>
      <w:r w:rsidR="00983587">
        <w:rPr>
          <w:rFonts w:cs="Verdana"/>
          <w:color w:val="262626"/>
        </w:rPr>
        <w:t xml:space="preserve"> main power source of most microgrids now are combustion technologies (natural gas-fired turbines, for instance).</w:t>
      </w:r>
      <w:r w:rsidR="00F45231">
        <w:rPr>
          <w:rStyle w:val="FootnoteReference"/>
          <w:rFonts w:cs="Verdana"/>
          <w:color w:val="262626"/>
        </w:rPr>
        <w:footnoteReference w:id="83"/>
      </w:r>
      <w:r w:rsidR="00983587">
        <w:rPr>
          <w:rFonts w:cs="Verdana"/>
          <w:color w:val="262626"/>
        </w:rPr>
        <w:t xml:space="preserve"> However, analysts assert things will change over the next 5 years with declines in the cost of energy storage, solar PV (80% over the last five year) and wind turbines (35% since 2008).</w:t>
      </w:r>
      <w:r w:rsidR="00F45231">
        <w:rPr>
          <w:rStyle w:val="FootnoteReference"/>
          <w:rFonts w:cs="Verdana"/>
          <w:color w:val="262626"/>
        </w:rPr>
        <w:footnoteReference w:id="84"/>
      </w:r>
      <w:r w:rsidR="00983587">
        <w:rPr>
          <w:rFonts w:cs="Verdana"/>
          <w:color w:val="262626"/>
        </w:rPr>
        <w:t xml:space="preserve"> </w:t>
      </w:r>
    </w:p>
    <w:p w14:paraId="50121F7A" w14:textId="77777777" w:rsidR="00983587" w:rsidRDefault="00983587" w:rsidP="00566374">
      <w:pPr>
        <w:widowControl w:val="0"/>
        <w:autoSpaceDE w:val="0"/>
        <w:autoSpaceDN w:val="0"/>
        <w:adjustRightInd w:val="0"/>
        <w:rPr>
          <w:rFonts w:cs="Verdana"/>
          <w:color w:val="262626"/>
        </w:rPr>
      </w:pPr>
    </w:p>
    <w:p w14:paraId="624E65C2" w14:textId="0FEF7A39" w:rsidR="00983587" w:rsidRDefault="00983587" w:rsidP="00566374">
      <w:pPr>
        <w:widowControl w:val="0"/>
        <w:autoSpaceDE w:val="0"/>
        <w:autoSpaceDN w:val="0"/>
        <w:adjustRightInd w:val="0"/>
        <w:rPr>
          <w:rFonts w:cs="Verdana"/>
          <w:color w:val="262626"/>
        </w:rPr>
      </w:pPr>
      <w:r>
        <w:rPr>
          <w:rFonts w:cs="Verdana"/>
          <w:color w:val="262626"/>
        </w:rPr>
        <w:t xml:space="preserve">These developments are being driven by state CHP incentives and resiliency programs, along with </w:t>
      </w:r>
      <w:r w:rsidR="00A22410">
        <w:rPr>
          <w:rFonts w:cs="Verdana"/>
          <w:color w:val="262626"/>
        </w:rPr>
        <w:t xml:space="preserve">microgrid investments by </w:t>
      </w:r>
      <w:r>
        <w:rPr>
          <w:rFonts w:cs="Verdana"/>
          <w:color w:val="262626"/>
        </w:rPr>
        <w:t>the Department of Defense.</w:t>
      </w:r>
      <w:r w:rsidR="00F45231">
        <w:rPr>
          <w:rStyle w:val="FootnoteReference"/>
          <w:rFonts w:cs="Verdana"/>
          <w:color w:val="262626"/>
        </w:rPr>
        <w:footnoteReference w:id="85"/>
      </w:r>
      <w:r>
        <w:rPr>
          <w:rFonts w:cs="Verdana"/>
          <w:color w:val="262626"/>
        </w:rPr>
        <w:t xml:space="preserve">  </w:t>
      </w:r>
    </w:p>
    <w:p w14:paraId="1FACAF4C" w14:textId="37C66F5F" w:rsidR="00F45231" w:rsidRDefault="004A21C3" w:rsidP="00566374">
      <w:pPr>
        <w:widowControl w:val="0"/>
        <w:autoSpaceDE w:val="0"/>
        <w:autoSpaceDN w:val="0"/>
        <w:adjustRightInd w:val="0"/>
        <w:rPr>
          <w:rFonts w:cs="Verdana"/>
          <w:color w:val="262626"/>
        </w:rPr>
      </w:pPr>
      <w:r>
        <w:rPr>
          <w:rFonts w:cs="Verdana"/>
          <w:color w:val="262626"/>
        </w:rPr>
        <w:t xml:space="preserve">             </w:t>
      </w:r>
    </w:p>
    <w:p w14:paraId="3ECDC270" w14:textId="77777777" w:rsidR="00F45231" w:rsidRDefault="00F45231" w:rsidP="00566374">
      <w:pPr>
        <w:widowControl w:val="0"/>
        <w:autoSpaceDE w:val="0"/>
        <w:autoSpaceDN w:val="0"/>
        <w:adjustRightInd w:val="0"/>
        <w:rPr>
          <w:rFonts w:cs="Verdana"/>
          <w:color w:val="262626"/>
        </w:rPr>
      </w:pPr>
    </w:p>
    <w:p w14:paraId="4E90391A" w14:textId="76A915A1" w:rsidR="00DB67E9" w:rsidRPr="00DB67E9" w:rsidRDefault="00F45231" w:rsidP="00566374">
      <w:pPr>
        <w:widowControl w:val="0"/>
        <w:autoSpaceDE w:val="0"/>
        <w:autoSpaceDN w:val="0"/>
        <w:adjustRightInd w:val="0"/>
        <w:rPr>
          <w:rFonts w:cs="Verdana"/>
          <w:b/>
          <w:color w:val="262626"/>
          <w:sz w:val="20"/>
          <w:szCs w:val="20"/>
        </w:rPr>
      </w:pPr>
      <w:r>
        <w:rPr>
          <w:rFonts w:cs="Verdana"/>
          <w:color w:val="262626"/>
        </w:rPr>
        <w:t xml:space="preserve">                   </w:t>
      </w:r>
      <w:r w:rsidR="00DB67E9">
        <w:rPr>
          <w:rFonts w:cs="Verdana"/>
          <w:color w:val="262626"/>
        </w:rPr>
        <w:t xml:space="preserve"> </w:t>
      </w:r>
      <w:r w:rsidR="00DB67E9" w:rsidRPr="00DB67E9">
        <w:rPr>
          <w:rFonts w:cs="Verdana"/>
          <w:b/>
          <w:color w:val="262626"/>
          <w:sz w:val="20"/>
          <w:szCs w:val="20"/>
        </w:rPr>
        <w:t>Top Microgrid States by Capacity (MW) and Installation Numbers</w:t>
      </w:r>
    </w:p>
    <w:p w14:paraId="20345F86" w14:textId="2D7621A2" w:rsidR="00DB67E9" w:rsidRDefault="00DB67E9" w:rsidP="00DB67E9">
      <w:pPr>
        <w:widowControl w:val="0"/>
        <w:autoSpaceDE w:val="0"/>
        <w:autoSpaceDN w:val="0"/>
        <w:adjustRightInd w:val="0"/>
        <w:ind w:left="720"/>
        <w:rPr>
          <w:rFonts w:cs="Verdana"/>
          <w:color w:val="262626"/>
        </w:rPr>
      </w:pPr>
      <w:r>
        <w:rPr>
          <w:rFonts w:ascii="Helvetica" w:hAnsi="Helvetica" w:cs="Helvetica"/>
          <w:noProof/>
        </w:rPr>
        <w:drawing>
          <wp:inline distT="0" distB="0" distL="0" distR="0" wp14:anchorId="27F51646" wp14:editId="00644DC8">
            <wp:extent cx="4117063" cy="2015324"/>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18787" cy="2016168"/>
                    </a:xfrm>
                    <a:prstGeom prst="rect">
                      <a:avLst/>
                    </a:prstGeom>
                    <a:noFill/>
                    <a:ln>
                      <a:noFill/>
                    </a:ln>
                  </pic:spPr>
                </pic:pic>
              </a:graphicData>
            </a:graphic>
          </wp:inline>
        </w:drawing>
      </w:r>
    </w:p>
    <w:p w14:paraId="35811965" w14:textId="1CC6BB5E" w:rsidR="00566374" w:rsidRDefault="00DB67E9" w:rsidP="00566374">
      <w:pPr>
        <w:widowControl w:val="0"/>
        <w:autoSpaceDE w:val="0"/>
        <w:autoSpaceDN w:val="0"/>
        <w:adjustRightInd w:val="0"/>
        <w:rPr>
          <w:rFonts w:cs="Verdana"/>
          <w:color w:val="262626"/>
          <w:sz w:val="16"/>
          <w:szCs w:val="16"/>
        </w:rPr>
      </w:pPr>
      <w:r>
        <w:rPr>
          <w:rFonts w:cs="Verdana"/>
          <w:color w:val="262626"/>
        </w:rPr>
        <w:tab/>
        <w:t xml:space="preserve">     </w:t>
      </w:r>
      <w:r w:rsidRPr="00DB67E9">
        <w:rPr>
          <w:rFonts w:cs="Verdana"/>
          <w:color w:val="262626"/>
          <w:sz w:val="16"/>
          <w:szCs w:val="16"/>
        </w:rPr>
        <w:t>Source: GTM Research (2014)</w:t>
      </w:r>
    </w:p>
    <w:p w14:paraId="0F0EC12B" w14:textId="77777777" w:rsidR="00DB67E9" w:rsidRDefault="00DB67E9" w:rsidP="00566374">
      <w:pPr>
        <w:widowControl w:val="0"/>
        <w:autoSpaceDE w:val="0"/>
        <w:autoSpaceDN w:val="0"/>
        <w:adjustRightInd w:val="0"/>
        <w:rPr>
          <w:rFonts w:cs="Verdana"/>
          <w:color w:val="262626"/>
          <w:sz w:val="16"/>
          <w:szCs w:val="16"/>
        </w:rPr>
      </w:pPr>
    </w:p>
    <w:p w14:paraId="4415550E" w14:textId="77777777" w:rsidR="00DB67E9" w:rsidRPr="00DB67E9" w:rsidRDefault="00DB67E9" w:rsidP="00566374">
      <w:pPr>
        <w:widowControl w:val="0"/>
        <w:autoSpaceDE w:val="0"/>
        <w:autoSpaceDN w:val="0"/>
        <w:adjustRightInd w:val="0"/>
        <w:rPr>
          <w:rFonts w:cs="Verdana"/>
          <w:color w:val="262626"/>
        </w:rPr>
      </w:pPr>
    </w:p>
    <w:p w14:paraId="34B80A7D" w14:textId="617701D4" w:rsidR="00566374" w:rsidRDefault="006C458F" w:rsidP="00566374">
      <w:pPr>
        <w:widowControl w:val="0"/>
        <w:autoSpaceDE w:val="0"/>
        <w:autoSpaceDN w:val="0"/>
        <w:adjustRightInd w:val="0"/>
        <w:rPr>
          <w:rFonts w:cs="Verdana"/>
          <w:color w:val="262626"/>
        </w:rPr>
      </w:pPr>
      <w:r>
        <w:rPr>
          <w:rFonts w:cs="Verdana"/>
          <w:color w:val="262626"/>
        </w:rPr>
        <w:t>The US microgrid market is expected to be valued at $3 billion by 2018.</w:t>
      </w:r>
      <w:r w:rsidR="00166DA1">
        <w:rPr>
          <w:rStyle w:val="FootnoteReference"/>
          <w:rFonts w:cs="Verdana"/>
          <w:color w:val="262626"/>
        </w:rPr>
        <w:footnoteReference w:id="86"/>
      </w:r>
      <w:r>
        <w:rPr>
          <w:rFonts w:cs="Verdana"/>
          <w:color w:val="262626"/>
        </w:rPr>
        <w:t xml:space="preserve"> The global market for microgrid “enabling technologies” is expected to be $155 billion by 2023.  </w:t>
      </w:r>
    </w:p>
    <w:p w14:paraId="70C1A4CA" w14:textId="1AF66ECC" w:rsidR="006C458F" w:rsidRDefault="006C458F" w:rsidP="00566374">
      <w:pPr>
        <w:widowControl w:val="0"/>
        <w:autoSpaceDE w:val="0"/>
        <w:autoSpaceDN w:val="0"/>
        <w:adjustRightInd w:val="0"/>
        <w:rPr>
          <w:rFonts w:cs="Verdana"/>
          <w:color w:val="262626"/>
        </w:rPr>
      </w:pPr>
      <w:r>
        <w:rPr>
          <w:rFonts w:cs="Verdana"/>
          <w:color w:val="262626"/>
        </w:rPr>
        <w:t>These include fuel cells, solar and distributed wind, advanced inverters, control systems, plug-in electric vehicle advanced storage systems, combined heat and power systems (which would include natural gas turbines) and others.</w:t>
      </w:r>
      <w:r w:rsidR="00166DA1">
        <w:rPr>
          <w:rStyle w:val="FootnoteReference"/>
          <w:rFonts w:cs="Verdana"/>
          <w:color w:val="262626"/>
        </w:rPr>
        <w:footnoteReference w:id="87"/>
      </w:r>
      <w:r>
        <w:rPr>
          <w:rFonts w:cs="Verdana"/>
          <w:color w:val="262626"/>
        </w:rPr>
        <w:t xml:space="preserve"> </w:t>
      </w:r>
    </w:p>
    <w:p w14:paraId="4139C60D" w14:textId="77777777" w:rsidR="006C458F" w:rsidRDefault="006C458F" w:rsidP="00566374">
      <w:pPr>
        <w:widowControl w:val="0"/>
        <w:autoSpaceDE w:val="0"/>
        <w:autoSpaceDN w:val="0"/>
        <w:adjustRightInd w:val="0"/>
        <w:rPr>
          <w:rFonts w:cs="Verdana"/>
          <w:color w:val="262626"/>
        </w:rPr>
      </w:pPr>
    </w:p>
    <w:p w14:paraId="606FC427" w14:textId="33F8B1FD" w:rsidR="006C458F" w:rsidRDefault="006C458F" w:rsidP="00566374">
      <w:pPr>
        <w:widowControl w:val="0"/>
        <w:autoSpaceDE w:val="0"/>
        <w:autoSpaceDN w:val="0"/>
        <w:adjustRightInd w:val="0"/>
        <w:rPr>
          <w:rFonts w:cs="Verdana"/>
          <w:color w:val="262626"/>
        </w:rPr>
      </w:pPr>
      <w:r>
        <w:rPr>
          <w:rFonts w:cs="Verdana"/>
          <w:color w:val="262626"/>
        </w:rPr>
        <w:t>Microgrid installations in the US span military bases, communities, island communities, and public institutions.  GTM Research plott</w:t>
      </w:r>
      <w:r w:rsidR="00166DA1">
        <w:rPr>
          <w:rFonts w:cs="Verdana"/>
          <w:color w:val="262626"/>
        </w:rPr>
        <w:t>ed these installations for 2014:</w:t>
      </w:r>
    </w:p>
    <w:p w14:paraId="12A3B947" w14:textId="77777777" w:rsidR="008B6DED" w:rsidRDefault="008B6DED" w:rsidP="00566374">
      <w:pPr>
        <w:widowControl w:val="0"/>
        <w:autoSpaceDE w:val="0"/>
        <w:autoSpaceDN w:val="0"/>
        <w:adjustRightInd w:val="0"/>
        <w:rPr>
          <w:rFonts w:cs="Verdana"/>
          <w:color w:val="262626"/>
        </w:rPr>
      </w:pPr>
    </w:p>
    <w:p w14:paraId="47BA00AF" w14:textId="77777777" w:rsidR="006C458F" w:rsidRDefault="006C458F" w:rsidP="00566374">
      <w:pPr>
        <w:widowControl w:val="0"/>
        <w:autoSpaceDE w:val="0"/>
        <w:autoSpaceDN w:val="0"/>
        <w:adjustRightInd w:val="0"/>
        <w:rPr>
          <w:rFonts w:cs="Verdana"/>
          <w:color w:val="262626"/>
        </w:rPr>
      </w:pPr>
    </w:p>
    <w:p w14:paraId="6A77E0AA" w14:textId="42516F55" w:rsidR="006C458F" w:rsidRDefault="006C458F" w:rsidP="00566374">
      <w:pPr>
        <w:widowControl w:val="0"/>
        <w:autoSpaceDE w:val="0"/>
        <w:autoSpaceDN w:val="0"/>
        <w:adjustRightInd w:val="0"/>
        <w:rPr>
          <w:rFonts w:cs="Verdana"/>
          <w:color w:val="262626"/>
        </w:rPr>
      </w:pPr>
      <w:r>
        <w:rPr>
          <w:rFonts w:ascii="Helvetica" w:hAnsi="Helvetica" w:cs="Helvetica"/>
          <w:noProof/>
        </w:rPr>
        <w:drawing>
          <wp:inline distT="0" distB="0" distL="0" distR="0" wp14:anchorId="4928F7CE" wp14:editId="01E24F4B">
            <wp:extent cx="5486400" cy="3341370"/>
            <wp:effectExtent l="0" t="0" r="0" b="1143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341370"/>
                    </a:xfrm>
                    <a:prstGeom prst="rect">
                      <a:avLst/>
                    </a:prstGeom>
                    <a:noFill/>
                    <a:ln>
                      <a:noFill/>
                    </a:ln>
                  </pic:spPr>
                </pic:pic>
              </a:graphicData>
            </a:graphic>
          </wp:inline>
        </w:drawing>
      </w:r>
    </w:p>
    <w:p w14:paraId="620896C2" w14:textId="669C3B81" w:rsidR="006C458F" w:rsidRPr="008B6DED" w:rsidRDefault="008B6DED" w:rsidP="00566374">
      <w:pPr>
        <w:widowControl w:val="0"/>
        <w:autoSpaceDE w:val="0"/>
        <w:autoSpaceDN w:val="0"/>
        <w:adjustRightInd w:val="0"/>
        <w:rPr>
          <w:rFonts w:cs="Verdana"/>
          <w:color w:val="262626"/>
          <w:sz w:val="16"/>
          <w:szCs w:val="16"/>
        </w:rPr>
      </w:pPr>
      <w:r w:rsidRPr="008B6DED">
        <w:rPr>
          <w:rFonts w:cs="Verdana"/>
          <w:color w:val="262626"/>
          <w:sz w:val="16"/>
          <w:szCs w:val="16"/>
        </w:rPr>
        <w:t>Source:  GTM Research</w:t>
      </w:r>
    </w:p>
    <w:p w14:paraId="3FC6A940" w14:textId="77777777" w:rsidR="00566374" w:rsidRDefault="00566374" w:rsidP="00566374">
      <w:pPr>
        <w:widowControl w:val="0"/>
        <w:autoSpaceDE w:val="0"/>
        <w:autoSpaceDN w:val="0"/>
        <w:adjustRightInd w:val="0"/>
        <w:rPr>
          <w:rFonts w:cs="Verdana"/>
          <w:color w:val="262626"/>
        </w:rPr>
      </w:pPr>
    </w:p>
    <w:p w14:paraId="720B9213" w14:textId="77777777" w:rsidR="00A22410" w:rsidRDefault="00A22410" w:rsidP="00566374">
      <w:pPr>
        <w:widowControl w:val="0"/>
        <w:autoSpaceDE w:val="0"/>
        <w:autoSpaceDN w:val="0"/>
        <w:adjustRightInd w:val="0"/>
        <w:rPr>
          <w:rFonts w:cs="Verdana"/>
          <w:color w:val="262626"/>
        </w:rPr>
      </w:pPr>
    </w:p>
    <w:p w14:paraId="40EFE8E0" w14:textId="4077BB0E" w:rsidR="00A22410" w:rsidRDefault="00A22410" w:rsidP="00566374">
      <w:pPr>
        <w:widowControl w:val="0"/>
        <w:autoSpaceDE w:val="0"/>
        <w:autoSpaceDN w:val="0"/>
        <w:adjustRightInd w:val="0"/>
        <w:spacing w:after="120"/>
        <w:rPr>
          <w:rFonts w:cs="Verdana"/>
          <w:color w:val="262626"/>
        </w:rPr>
      </w:pPr>
      <w:r>
        <w:rPr>
          <w:rFonts w:cs="Verdana"/>
          <w:color w:val="262626"/>
        </w:rPr>
        <w:t>Utility investment in</w:t>
      </w:r>
      <w:r w:rsidR="008D1FE1">
        <w:rPr>
          <w:rFonts w:cs="Verdana"/>
          <w:color w:val="262626"/>
        </w:rPr>
        <w:t xml:space="preserve"> microgrids is expected to climb to</w:t>
      </w:r>
      <w:r>
        <w:rPr>
          <w:rFonts w:cs="Verdana"/>
          <w:color w:val="262626"/>
        </w:rPr>
        <w:t xml:space="preserve"> almost $6 billion by 2023.  Currently, most of these investments are in the public power sector (municipal utilities), who own the local distribution system.</w:t>
      </w:r>
      <w:r w:rsidR="00166DA1">
        <w:rPr>
          <w:rStyle w:val="FootnoteReference"/>
          <w:rFonts w:cs="Verdana"/>
          <w:color w:val="262626"/>
        </w:rPr>
        <w:footnoteReference w:id="88"/>
      </w:r>
      <w:r>
        <w:rPr>
          <w:rFonts w:cs="Verdana"/>
          <w:color w:val="262626"/>
        </w:rPr>
        <w:t xml:space="preserve">  This could present a problem for communities served by investor-owned utilities, who own the distribution system. </w:t>
      </w:r>
    </w:p>
    <w:p w14:paraId="4EC5AA86" w14:textId="124C3205" w:rsidR="00A22410" w:rsidRDefault="00A22410" w:rsidP="00A22410">
      <w:pPr>
        <w:widowControl w:val="0"/>
        <w:autoSpaceDE w:val="0"/>
        <w:autoSpaceDN w:val="0"/>
        <w:adjustRightInd w:val="0"/>
        <w:rPr>
          <w:rFonts w:cs="Verdana"/>
          <w:color w:val="262626"/>
        </w:rPr>
      </w:pPr>
      <w:r>
        <w:rPr>
          <w:rFonts w:cs="Verdana"/>
          <w:color w:val="262626"/>
        </w:rPr>
        <w:t xml:space="preserve">Navigant concludes that most of the estimated $8.4 billion </w:t>
      </w:r>
      <w:r w:rsidR="004A21C3">
        <w:rPr>
          <w:rFonts w:cs="Verdana"/>
          <w:color w:val="262626"/>
        </w:rPr>
        <w:t>(</w:t>
      </w:r>
      <w:r w:rsidR="00166DA1">
        <w:rPr>
          <w:rFonts w:cs="Verdana"/>
          <w:color w:val="262626"/>
        </w:rPr>
        <w:t xml:space="preserve">annually </w:t>
      </w:r>
      <w:r>
        <w:rPr>
          <w:rFonts w:cs="Verdana"/>
          <w:color w:val="262626"/>
        </w:rPr>
        <w:t>by 2020</w:t>
      </w:r>
      <w:r w:rsidR="004A21C3">
        <w:rPr>
          <w:rFonts w:cs="Verdana"/>
          <w:color w:val="262626"/>
        </w:rPr>
        <w:t>)</w:t>
      </w:r>
      <w:r>
        <w:rPr>
          <w:rFonts w:cs="Verdana"/>
          <w:color w:val="262626"/>
        </w:rPr>
        <w:t xml:space="preserve"> remote microgrid market will take place in developing countries.  However, there will be increasing investment in North America and Europe. </w:t>
      </w:r>
      <w:r w:rsidR="00166DA1">
        <w:rPr>
          <w:rStyle w:val="FootnoteReference"/>
          <w:rFonts w:cs="Verdana"/>
          <w:color w:val="262626"/>
        </w:rPr>
        <w:footnoteReference w:id="89"/>
      </w:r>
    </w:p>
    <w:p w14:paraId="23E3F5D8" w14:textId="77777777" w:rsidR="00A22410" w:rsidRDefault="00A22410" w:rsidP="00A22410">
      <w:pPr>
        <w:widowControl w:val="0"/>
        <w:autoSpaceDE w:val="0"/>
        <w:autoSpaceDN w:val="0"/>
        <w:adjustRightInd w:val="0"/>
        <w:rPr>
          <w:rFonts w:cs="Verdana"/>
          <w:color w:val="262626"/>
        </w:rPr>
      </w:pPr>
    </w:p>
    <w:p w14:paraId="7B5B37CE" w14:textId="7B94C5EE" w:rsidR="00A22410" w:rsidRDefault="00790345" w:rsidP="00A22410">
      <w:pPr>
        <w:widowControl w:val="0"/>
        <w:autoSpaceDE w:val="0"/>
        <w:autoSpaceDN w:val="0"/>
        <w:adjustRightInd w:val="0"/>
        <w:rPr>
          <w:rFonts w:cs="Verdana"/>
          <w:b/>
          <w:color w:val="262626"/>
        </w:rPr>
      </w:pPr>
      <w:r w:rsidRPr="00790345">
        <w:rPr>
          <w:rFonts w:cs="Verdana"/>
          <w:b/>
          <w:color w:val="262626"/>
        </w:rPr>
        <w:t>Development, Testing, Piloting Demonstration: The Advantage of Renewables and Distributed Technologies Over New Conventional Power Plant Designs</w:t>
      </w:r>
    </w:p>
    <w:p w14:paraId="58D8EA5C" w14:textId="77777777" w:rsidR="00D16161" w:rsidRDefault="00EC3881" w:rsidP="00A22410">
      <w:pPr>
        <w:widowControl w:val="0"/>
        <w:autoSpaceDE w:val="0"/>
        <w:autoSpaceDN w:val="0"/>
        <w:adjustRightInd w:val="0"/>
        <w:rPr>
          <w:rFonts w:cs="Verdana"/>
          <w:color w:val="262626"/>
        </w:rPr>
      </w:pPr>
      <w:r>
        <w:rPr>
          <w:rFonts w:cs="Verdana"/>
          <w:color w:val="262626"/>
        </w:rPr>
        <w:t>The modular nature of solar, wind, storage, fuel cells, etc. gives them a distinct advantage over new nuclear and coal-fired power designs.  They can be developed, tested, piloted, and demonstrated over multiple generations prior to commercialization, which makes them (other than their modular nature</w:t>
      </w:r>
      <w:r w:rsidR="00D16161">
        <w:rPr>
          <w:rFonts w:cs="Verdana"/>
          <w:color w:val="262626"/>
        </w:rPr>
        <w:t xml:space="preserve"> and the ability to be mass produced</w:t>
      </w:r>
      <w:r>
        <w:rPr>
          <w:rFonts w:cs="Verdana"/>
          <w:color w:val="262626"/>
        </w:rPr>
        <w:t>) much less of a financial risk than new nuclear or coal-fired construction which inevitably culminate in delays and cost overruns.  Prices c</w:t>
      </w:r>
      <w:r w:rsidR="00D16161">
        <w:rPr>
          <w:rFonts w:cs="Verdana"/>
          <w:color w:val="262626"/>
        </w:rPr>
        <w:t>an be set.  Operating capabilities</w:t>
      </w:r>
      <w:r>
        <w:rPr>
          <w:rFonts w:cs="Verdana"/>
          <w:color w:val="262626"/>
        </w:rPr>
        <w:t xml:space="preserve"> are known</w:t>
      </w:r>
      <w:r w:rsidR="00D16161">
        <w:rPr>
          <w:rFonts w:cs="Verdana"/>
          <w:color w:val="262626"/>
        </w:rPr>
        <w:t xml:space="preserve">. </w:t>
      </w:r>
    </w:p>
    <w:p w14:paraId="7D7AB618" w14:textId="77777777" w:rsidR="00217B8D" w:rsidRDefault="00217B8D" w:rsidP="00A22410">
      <w:pPr>
        <w:widowControl w:val="0"/>
        <w:autoSpaceDE w:val="0"/>
        <w:autoSpaceDN w:val="0"/>
        <w:adjustRightInd w:val="0"/>
        <w:rPr>
          <w:rFonts w:cs="Verdana"/>
          <w:color w:val="262626"/>
        </w:rPr>
      </w:pPr>
    </w:p>
    <w:p w14:paraId="13A79648" w14:textId="37ECEDAC" w:rsidR="008D1FE1" w:rsidRDefault="00D16161" w:rsidP="00A22410">
      <w:pPr>
        <w:widowControl w:val="0"/>
        <w:autoSpaceDE w:val="0"/>
        <w:autoSpaceDN w:val="0"/>
        <w:adjustRightInd w:val="0"/>
        <w:rPr>
          <w:rFonts w:cs="Verdana"/>
          <w:color w:val="262626"/>
        </w:rPr>
      </w:pPr>
      <w:r>
        <w:rPr>
          <w:rFonts w:cs="Verdana"/>
          <w:color w:val="262626"/>
        </w:rPr>
        <w:t xml:space="preserve">This is how microgrid technologies are being developed and commercialized.  In fact, they are being tested in actual or near actual operating conditions.   </w:t>
      </w:r>
    </w:p>
    <w:p w14:paraId="1766A64B" w14:textId="77777777" w:rsidR="00D16161" w:rsidRDefault="00D16161" w:rsidP="00A22410">
      <w:pPr>
        <w:widowControl w:val="0"/>
        <w:autoSpaceDE w:val="0"/>
        <w:autoSpaceDN w:val="0"/>
        <w:adjustRightInd w:val="0"/>
        <w:rPr>
          <w:rFonts w:cs="Verdana"/>
          <w:color w:val="262626"/>
        </w:rPr>
      </w:pPr>
    </w:p>
    <w:p w14:paraId="580657AC" w14:textId="58818F04" w:rsidR="00D16161" w:rsidRDefault="00D16161" w:rsidP="00A22410">
      <w:pPr>
        <w:widowControl w:val="0"/>
        <w:autoSpaceDE w:val="0"/>
        <w:autoSpaceDN w:val="0"/>
        <w:adjustRightInd w:val="0"/>
        <w:rPr>
          <w:rFonts w:cs="Verdana"/>
          <w:color w:val="262626"/>
        </w:rPr>
      </w:pPr>
      <w:r>
        <w:rPr>
          <w:rFonts w:cs="Verdana"/>
          <w:color w:val="262626"/>
        </w:rPr>
        <w:t xml:space="preserve">NREL’s </w:t>
      </w:r>
      <w:r w:rsidR="00900C6A">
        <w:rPr>
          <w:rFonts w:cs="Verdana"/>
          <w:color w:val="262626"/>
        </w:rPr>
        <w:t xml:space="preserve">182,000 square foot </w:t>
      </w:r>
      <w:r>
        <w:rPr>
          <w:rFonts w:cs="Verdana"/>
          <w:color w:val="262626"/>
        </w:rPr>
        <w:t>Energy System Integration Facility is an example.  There NREL is testing such technology “at full power and actual load levels in real-time simulations to evaluate component and system performance before going to market.”  Currently, NREL is testing microgrid control systems developed by GE and EPRI (Electric Power Research Institute).  The idea is to standardize the capabilities of control systems so that they can be deployed in any microgrid context</w:t>
      </w:r>
      <w:r w:rsidR="00900C6A">
        <w:rPr>
          <w:rFonts w:cs="Verdana"/>
          <w:color w:val="262626"/>
        </w:rPr>
        <w:t xml:space="preserve"> and scalable</w:t>
      </w:r>
      <w:r>
        <w:rPr>
          <w:rFonts w:cs="Verdana"/>
          <w:color w:val="262626"/>
        </w:rPr>
        <w:t>.  Control systems (telecommunications technolog</w:t>
      </w:r>
      <w:r w:rsidR="00900C6A">
        <w:rPr>
          <w:rFonts w:cs="Verdana"/>
          <w:color w:val="262626"/>
        </w:rPr>
        <w:t>y essentially) balance supply and demand of power on the microgrid to maintain system reliability.  ESIF hosted 40 private partners in its first year of operation.</w:t>
      </w:r>
      <w:r w:rsidR="00217B8D">
        <w:rPr>
          <w:rStyle w:val="FootnoteReference"/>
          <w:rFonts w:cs="Verdana"/>
          <w:color w:val="262626"/>
        </w:rPr>
        <w:footnoteReference w:id="90"/>
      </w:r>
      <w:r w:rsidR="00900C6A">
        <w:rPr>
          <w:rFonts w:cs="Verdana"/>
          <w:color w:val="262626"/>
        </w:rPr>
        <w:t xml:space="preserve"> </w:t>
      </w:r>
    </w:p>
    <w:p w14:paraId="1E2B246E" w14:textId="77777777" w:rsidR="00900C6A" w:rsidRDefault="00900C6A" w:rsidP="00A22410">
      <w:pPr>
        <w:widowControl w:val="0"/>
        <w:autoSpaceDE w:val="0"/>
        <w:autoSpaceDN w:val="0"/>
        <w:adjustRightInd w:val="0"/>
        <w:rPr>
          <w:rFonts w:cs="Verdana"/>
          <w:color w:val="262626"/>
        </w:rPr>
      </w:pPr>
    </w:p>
    <w:p w14:paraId="31594968" w14:textId="5860EDFE" w:rsidR="00900C6A" w:rsidRDefault="00D225C8" w:rsidP="00A22410">
      <w:pPr>
        <w:widowControl w:val="0"/>
        <w:autoSpaceDE w:val="0"/>
        <w:autoSpaceDN w:val="0"/>
        <w:adjustRightInd w:val="0"/>
        <w:rPr>
          <w:rFonts w:cs="Verdana"/>
          <w:color w:val="262626"/>
        </w:rPr>
      </w:pPr>
      <w:r>
        <w:rPr>
          <w:rFonts w:cs="Verdana"/>
          <w:color w:val="262626"/>
        </w:rPr>
        <w:t>Another live lab for testing distributed energy technology is University of San Diego’s microgrid.</w:t>
      </w:r>
      <w:r w:rsidR="00347B86">
        <w:rPr>
          <w:rStyle w:val="FootnoteReference"/>
          <w:rFonts w:cs="Verdana"/>
          <w:color w:val="262626"/>
        </w:rPr>
        <w:footnoteReference w:id="91"/>
      </w:r>
      <w:r>
        <w:rPr>
          <w:rFonts w:cs="Verdana"/>
          <w:color w:val="262626"/>
        </w:rPr>
        <w:t xml:space="preserve">  Covering over 92% of its sprawling campus, U of San Diego is testing ultracapacitors, flow-battery technology, concentrating solar technology, and the first commercial size molten-carbonate fuel cells</w:t>
      </w:r>
      <w:r w:rsidR="00635DE9">
        <w:rPr>
          <w:rStyle w:val="FootnoteReference"/>
          <w:rFonts w:cs="Verdana"/>
          <w:color w:val="262626"/>
        </w:rPr>
        <w:footnoteReference w:id="92"/>
      </w:r>
      <w:r w:rsidR="005D3CE8">
        <w:rPr>
          <w:rFonts w:cs="Verdana"/>
          <w:color w:val="262626"/>
        </w:rPr>
        <w:t>, electric-vehicle charging timed around the microgrid’s electric demand, the testing of batteries for grid application that have surpassed their useful life in electric cars</w:t>
      </w:r>
      <w:r>
        <w:rPr>
          <w:rFonts w:cs="Verdana"/>
          <w:color w:val="262626"/>
        </w:rPr>
        <w:t>.</w:t>
      </w:r>
      <w:r w:rsidR="00217B8D">
        <w:rPr>
          <w:rStyle w:val="FootnoteReference"/>
          <w:rFonts w:cs="Verdana"/>
          <w:color w:val="262626"/>
        </w:rPr>
        <w:footnoteReference w:id="93"/>
      </w:r>
      <w:r>
        <w:rPr>
          <w:rFonts w:cs="Verdana"/>
          <w:color w:val="262626"/>
        </w:rPr>
        <w:t xml:space="preserve"> </w:t>
      </w:r>
    </w:p>
    <w:p w14:paraId="333F5D46" w14:textId="77777777" w:rsidR="00CB3BB1" w:rsidRDefault="00CB3BB1" w:rsidP="00A22410">
      <w:pPr>
        <w:widowControl w:val="0"/>
        <w:autoSpaceDE w:val="0"/>
        <w:autoSpaceDN w:val="0"/>
        <w:adjustRightInd w:val="0"/>
        <w:rPr>
          <w:rFonts w:cs="Verdana"/>
          <w:color w:val="262626"/>
        </w:rPr>
      </w:pPr>
    </w:p>
    <w:p w14:paraId="20EA0AFE" w14:textId="1DD85B1B" w:rsidR="00CB3BB1" w:rsidRPr="00CB3BB1" w:rsidRDefault="00CB3BB1" w:rsidP="00A22410">
      <w:pPr>
        <w:widowControl w:val="0"/>
        <w:autoSpaceDE w:val="0"/>
        <w:autoSpaceDN w:val="0"/>
        <w:adjustRightInd w:val="0"/>
        <w:rPr>
          <w:rFonts w:cs="Verdana"/>
          <w:b/>
          <w:color w:val="262626"/>
        </w:rPr>
      </w:pPr>
      <w:r w:rsidRPr="00CB3BB1">
        <w:rPr>
          <w:rFonts w:cs="Verdana"/>
          <w:b/>
          <w:color w:val="262626"/>
        </w:rPr>
        <w:t>Building Efficiency Market and Technologies</w:t>
      </w:r>
    </w:p>
    <w:p w14:paraId="440CFCE0" w14:textId="6E36ABC8" w:rsidR="00971005" w:rsidRDefault="00B72174" w:rsidP="00A22410">
      <w:pPr>
        <w:widowControl w:val="0"/>
        <w:autoSpaceDE w:val="0"/>
        <w:autoSpaceDN w:val="0"/>
        <w:adjustRightInd w:val="0"/>
        <w:rPr>
          <w:rFonts w:cs="Verdana"/>
          <w:color w:val="262626"/>
        </w:rPr>
      </w:pPr>
      <w:r>
        <w:rPr>
          <w:rFonts w:cs="Verdana"/>
          <w:color w:val="262626"/>
        </w:rPr>
        <w:t>Building efficiency is critically important to the sustainable grid design.  In the US, buildings consume 41% of all energy use, 7</w:t>
      </w:r>
      <w:r w:rsidR="0095041F">
        <w:rPr>
          <w:rFonts w:cs="Verdana"/>
          <w:color w:val="262626"/>
        </w:rPr>
        <w:t>3% of electricity consumption, and are responsible for 38% of all carbon dioxide emissions.</w:t>
      </w:r>
      <w:r w:rsidR="0035212A" w:rsidRPr="0035212A">
        <w:rPr>
          <w:rStyle w:val="FootnoteReference"/>
          <w:rFonts w:cs="Verdana"/>
          <w:color w:val="262626"/>
        </w:rPr>
        <w:t xml:space="preserve"> </w:t>
      </w:r>
      <w:r w:rsidR="0035212A">
        <w:rPr>
          <w:rStyle w:val="FootnoteReference"/>
          <w:rFonts w:cs="Verdana"/>
          <w:color w:val="262626"/>
        </w:rPr>
        <w:footnoteReference w:id="94"/>
      </w:r>
      <w:r w:rsidR="0095041F">
        <w:rPr>
          <w:rFonts w:cs="Verdana"/>
          <w:color w:val="262626"/>
        </w:rPr>
        <w:t xml:space="preserve">  Also importantly, building efficiency is big business.</w:t>
      </w:r>
    </w:p>
    <w:p w14:paraId="590207A2" w14:textId="77777777" w:rsidR="0095041F" w:rsidRDefault="0095041F" w:rsidP="00A22410">
      <w:pPr>
        <w:widowControl w:val="0"/>
        <w:autoSpaceDE w:val="0"/>
        <w:autoSpaceDN w:val="0"/>
        <w:adjustRightInd w:val="0"/>
        <w:rPr>
          <w:rFonts w:cs="Verdana"/>
          <w:color w:val="262626"/>
        </w:rPr>
      </w:pPr>
    </w:p>
    <w:p w14:paraId="15D00F58" w14:textId="050537F2" w:rsidR="0095041F" w:rsidRDefault="0095041F" w:rsidP="00A22410">
      <w:pPr>
        <w:widowControl w:val="0"/>
        <w:autoSpaceDE w:val="0"/>
        <w:autoSpaceDN w:val="0"/>
        <w:adjustRightInd w:val="0"/>
        <w:rPr>
          <w:rFonts w:cs="Verdana"/>
          <w:color w:val="262626"/>
        </w:rPr>
      </w:pPr>
      <w:r>
        <w:rPr>
          <w:rFonts w:cs="Verdana"/>
          <w:color w:val="262626"/>
        </w:rPr>
        <w:t xml:space="preserve">The US Green Building Council has worked with the private sector develop standards for efficient building construction referred to as Leadership in Energy and Environment Design (LEED).  It projects that soon up to 48% of non-residential construction will be LEED, equating to $120 to $140 billion investment.  Only 2% of commercial construction in 2005, LEED grew to 28 to 35% of commercial construction by 2010.  In 2012, the potential market was considered to be </w:t>
      </w:r>
      <w:r w:rsidR="004A21C3">
        <w:rPr>
          <w:rFonts w:cs="Verdana"/>
          <w:color w:val="262626"/>
        </w:rPr>
        <w:t xml:space="preserve">a up to </w:t>
      </w:r>
      <w:r>
        <w:rPr>
          <w:rFonts w:cs="Verdana"/>
          <w:color w:val="262626"/>
        </w:rPr>
        <w:t xml:space="preserve">$150 billion, </w:t>
      </w:r>
      <w:r w:rsidR="00321BC7">
        <w:rPr>
          <w:rFonts w:cs="Verdana"/>
          <w:color w:val="262626"/>
        </w:rPr>
        <w:t>which would create</w:t>
      </w:r>
      <w:r>
        <w:rPr>
          <w:rFonts w:cs="Verdana"/>
          <w:color w:val="262626"/>
        </w:rPr>
        <w:t xml:space="preserve"> one million jobs.</w:t>
      </w:r>
      <w:r w:rsidR="006075E4">
        <w:rPr>
          <w:rStyle w:val="FootnoteReference"/>
          <w:rFonts w:cs="Verdana"/>
          <w:color w:val="262626"/>
        </w:rPr>
        <w:footnoteReference w:id="95"/>
      </w:r>
      <w:r>
        <w:rPr>
          <w:rFonts w:cs="Verdana"/>
          <w:color w:val="262626"/>
        </w:rPr>
        <w:t xml:space="preserve">  </w:t>
      </w:r>
    </w:p>
    <w:p w14:paraId="13FEA5A4" w14:textId="77777777" w:rsidR="00861F89" w:rsidRDefault="00861F89" w:rsidP="00A22410">
      <w:pPr>
        <w:widowControl w:val="0"/>
        <w:autoSpaceDE w:val="0"/>
        <w:autoSpaceDN w:val="0"/>
        <w:adjustRightInd w:val="0"/>
        <w:rPr>
          <w:rFonts w:cs="Verdana"/>
          <w:color w:val="262626"/>
        </w:rPr>
      </w:pPr>
    </w:p>
    <w:p w14:paraId="74AC5EF1" w14:textId="112CCD36" w:rsidR="000D4908" w:rsidRDefault="000D4908" w:rsidP="00A22410">
      <w:pPr>
        <w:widowControl w:val="0"/>
        <w:autoSpaceDE w:val="0"/>
        <w:autoSpaceDN w:val="0"/>
        <w:adjustRightInd w:val="0"/>
        <w:rPr>
          <w:rFonts w:cs="Verdana"/>
          <w:color w:val="262626"/>
        </w:rPr>
      </w:pPr>
      <w:r>
        <w:rPr>
          <w:rFonts w:cs="Verdana"/>
          <w:color w:val="262626"/>
        </w:rPr>
        <w:t>In 2014, Navigant conducted a study of the world building retrofit market, reviewing the potential for energy efficiency in commercial and public buildings.  Navigant assessed heating and air conditioning, water conservation, lighting, building envelope measures, customer energy generation, and installation.  It found that by 2024 building owners will have invested over $900 billio</w:t>
      </w:r>
      <w:r w:rsidR="006075E4">
        <w:rPr>
          <w:rFonts w:cs="Verdana"/>
          <w:color w:val="262626"/>
        </w:rPr>
        <w:t>n in such efficiency retrofits.</w:t>
      </w:r>
      <w:r w:rsidR="006075E4">
        <w:rPr>
          <w:rStyle w:val="FootnoteReference"/>
          <w:rFonts w:cs="Verdana"/>
          <w:color w:val="262626"/>
        </w:rPr>
        <w:footnoteReference w:id="96"/>
      </w:r>
      <w:r>
        <w:rPr>
          <w:rFonts w:cs="Verdana"/>
          <w:color w:val="262626"/>
        </w:rPr>
        <w:t xml:space="preserve"> </w:t>
      </w:r>
    </w:p>
    <w:p w14:paraId="2B253B47" w14:textId="77777777" w:rsidR="00861F89" w:rsidRDefault="00861F89" w:rsidP="00A22410">
      <w:pPr>
        <w:widowControl w:val="0"/>
        <w:autoSpaceDE w:val="0"/>
        <w:autoSpaceDN w:val="0"/>
        <w:adjustRightInd w:val="0"/>
        <w:rPr>
          <w:rFonts w:cs="Verdana"/>
          <w:color w:val="262626"/>
        </w:rPr>
      </w:pPr>
    </w:p>
    <w:p w14:paraId="74060F6B" w14:textId="1A0703C7" w:rsidR="0005050D" w:rsidRDefault="0005050D" w:rsidP="00A22410">
      <w:pPr>
        <w:widowControl w:val="0"/>
        <w:autoSpaceDE w:val="0"/>
        <w:autoSpaceDN w:val="0"/>
        <w:adjustRightInd w:val="0"/>
        <w:rPr>
          <w:rFonts w:cs="Verdana"/>
          <w:color w:val="262626"/>
        </w:rPr>
      </w:pPr>
      <w:r>
        <w:rPr>
          <w:rFonts w:cs="Verdana"/>
          <w:color w:val="262626"/>
        </w:rPr>
        <w:t>A small but growing sector is the net zero energy building market.  Estimated at about $629 million worldwide in 2014, it is expected to expand to $1.4 trillion by 2035.  There are 400 such buildings documented globally, with 25% in the US and Canada.</w:t>
      </w:r>
      <w:r w:rsidR="0035212A">
        <w:rPr>
          <w:rStyle w:val="FootnoteReference"/>
          <w:rFonts w:cs="Verdana"/>
          <w:color w:val="262626"/>
        </w:rPr>
        <w:footnoteReference w:id="97"/>
      </w:r>
      <w:r>
        <w:rPr>
          <w:rFonts w:cs="Verdana"/>
          <w:color w:val="262626"/>
        </w:rPr>
        <w:t xml:space="preserve">   </w:t>
      </w:r>
    </w:p>
    <w:p w14:paraId="6F36D0F9" w14:textId="77777777" w:rsidR="0005050D" w:rsidRDefault="0005050D" w:rsidP="00A22410">
      <w:pPr>
        <w:widowControl w:val="0"/>
        <w:autoSpaceDE w:val="0"/>
        <w:autoSpaceDN w:val="0"/>
        <w:adjustRightInd w:val="0"/>
        <w:rPr>
          <w:rFonts w:cs="Verdana"/>
          <w:color w:val="262626"/>
        </w:rPr>
      </w:pPr>
    </w:p>
    <w:p w14:paraId="24FBD81F" w14:textId="1CF0D7BB" w:rsidR="0005050D" w:rsidRDefault="0005050D" w:rsidP="00A22410">
      <w:pPr>
        <w:widowControl w:val="0"/>
        <w:autoSpaceDE w:val="0"/>
        <w:autoSpaceDN w:val="0"/>
        <w:adjustRightInd w:val="0"/>
        <w:rPr>
          <w:rFonts w:cs="Verdana"/>
          <w:color w:val="262626"/>
        </w:rPr>
      </w:pPr>
      <w:r>
        <w:rPr>
          <w:rFonts w:cs="Verdana"/>
          <w:color w:val="262626"/>
        </w:rPr>
        <w:t xml:space="preserve">Walgreens opened its first net zero energy building in Illinois in November of 2013, featuring 850 solar panels , 2 wind turbines, and a geothermal heat pump. Habitat for Humanity finished its first net zero energy home in Minneapolis.  Although most of these buildings are small, the Bullitt Foundation constructed a 52,000-square foot office building in Seattle and NREL a 220,000 square foot net zero energy office building in Colorado. The Obama Administration has ordered </w:t>
      </w:r>
      <w:r w:rsidR="00512785">
        <w:rPr>
          <w:rFonts w:cs="Verdana"/>
          <w:color w:val="262626"/>
        </w:rPr>
        <w:t>all new federal buildings to be net zero energy by 2030.  California has mandated that all residential construction be net zero energy beginning by 2020 and 50% of the floor space of existing state buildings net energy zero by 2025.</w:t>
      </w:r>
      <w:r w:rsidR="0035212A">
        <w:rPr>
          <w:rStyle w:val="FootnoteReference"/>
          <w:rFonts w:cs="Verdana"/>
          <w:color w:val="262626"/>
        </w:rPr>
        <w:footnoteReference w:id="98"/>
      </w:r>
      <w:r w:rsidR="00512785">
        <w:rPr>
          <w:rFonts w:cs="Verdana"/>
          <w:color w:val="262626"/>
        </w:rPr>
        <w:t xml:space="preserve"> </w:t>
      </w:r>
    </w:p>
    <w:p w14:paraId="338612CD" w14:textId="77777777" w:rsidR="00512785" w:rsidRDefault="00512785" w:rsidP="00A22410">
      <w:pPr>
        <w:widowControl w:val="0"/>
        <w:autoSpaceDE w:val="0"/>
        <w:autoSpaceDN w:val="0"/>
        <w:adjustRightInd w:val="0"/>
        <w:rPr>
          <w:rFonts w:cs="Verdana"/>
          <w:color w:val="262626"/>
        </w:rPr>
      </w:pPr>
    </w:p>
    <w:p w14:paraId="398C1498" w14:textId="1A0CD315" w:rsidR="00512785" w:rsidRDefault="00430264" w:rsidP="00A22410">
      <w:pPr>
        <w:widowControl w:val="0"/>
        <w:autoSpaceDE w:val="0"/>
        <w:autoSpaceDN w:val="0"/>
        <w:adjustRightInd w:val="0"/>
        <w:rPr>
          <w:rFonts w:cs="Verdana"/>
          <w:color w:val="262626"/>
        </w:rPr>
      </w:pPr>
      <w:r>
        <w:rPr>
          <w:rFonts w:cs="Verdana"/>
          <w:color w:val="262626"/>
        </w:rPr>
        <w:t xml:space="preserve">Rocky Mountain Institute is working with the University of California, Fort Collins, Colorado, and Arizona State on net zero energy communities.  </w:t>
      </w:r>
      <w:r w:rsidR="000E27A2">
        <w:rPr>
          <w:rFonts w:cs="Verdana"/>
          <w:color w:val="262626"/>
        </w:rPr>
        <w:t xml:space="preserve">At the University of California, RMI and the University are creating a net zero energy district called the West Village, where 3,000 students and 500 faculty will reside. A portion is complete and achieved 87% of their </w:t>
      </w:r>
      <w:r w:rsidR="004A21C3">
        <w:rPr>
          <w:rFonts w:cs="Verdana"/>
          <w:color w:val="262626"/>
        </w:rPr>
        <w:t xml:space="preserve">demand </w:t>
      </w:r>
      <w:r w:rsidR="000E27A2">
        <w:rPr>
          <w:rFonts w:cs="Verdana"/>
          <w:color w:val="262626"/>
        </w:rPr>
        <w:t xml:space="preserve">the first year.  Arizona State wants to be net zero carbon emissions by 2025 – a much more stringent standard than net zero energy.  </w:t>
      </w:r>
      <w:r w:rsidR="004A21C3">
        <w:rPr>
          <w:rFonts w:cs="Verdana"/>
          <w:color w:val="262626"/>
        </w:rPr>
        <w:t xml:space="preserve">RMI and officials of Fort Collins, Colorado are developing a net zero energy project for the </w:t>
      </w:r>
      <w:r w:rsidR="000E27A2">
        <w:rPr>
          <w:rFonts w:cs="Verdana"/>
          <w:color w:val="262626"/>
        </w:rPr>
        <w:t>d</w:t>
      </w:r>
      <w:r w:rsidR="004A21C3">
        <w:rPr>
          <w:rFonts w:cs="Verdana"/>
          <w:color w:val="262626"/>
        </w:rPr>
        <w:t>owntown district of the city and the</w:t>
      </w:r>
      <w:r w:rsidR="000E27A2">
        <w:rPr>
          <w:rFonts w:cs="Verdana"/>
          <w:color w:val="262626"/>
        </w:rPr>
        <w:t xml:space="preserve"> Colorado State</w:t>
      </w:r>
      <w:r w:rsidR="004A21C3">
        <w:rPr>
          <w:rFonts w:cs="Verdana"/>
          <w:color w:val="262626"/>
        </w:rPr>
        <w:t xml:space="preserve"> University campus</w:t>
      </w:r>
      <w:r w:rsidR="000E27A2">
        <w:rPr>
          <w:rFonts w:cs="Verdana"/>
          <w:color w:val="262626"/>
        </w:rPr>
        <w:t>.</w:t>
      </w:r>
      <w:r w:rsidR="0035212A">
        <w:rPr>
          <w:rStyle w:val="FootnoteReference"/>
          <w:rFonts w:cs="Verdana"/>
          <w:color w:val="262626"/>
        </w:rPr>
        <w:footnoteReference w:id="99"/>
      </w:r>
      <w:r w:rsidR="000E27A2">
        <w:rPr>
          <w:rFonts w:cs="Verdana"/>
          <w:color w:val="262626"/>
        </w:rPr>
        <w:t xml:space="preserve">  </w:t>
      </w:r>
    </w:p>
    <w:p w14:paraId="3B020925" w14:textId="77777777" w:rsidR="000E27A2" w:rsidRDefault="000E27A2" w:rsidP="00A22410">
      <w:pPr>
        <w:widowControl w:val="0"/>
        <w:autoSpaceDE w:val="0"/>
        <w:autoSpaceDN w:val="0"/>
        <w:adjustRightInd w:val="0"/>
        <w:rPr>
          <w:rFonts w:cs="Verdana"/>
          <w:color w:val="262626"/>
        </w:rPr>
      </w:pPr>
    </w:p>
    <w:p w14:paraId="356A5BB4" w14:textId="77777777" w:rsidR="000E27A2" w:rsidRDefault="000E27A2" w:rsidP="00A22410">
      <w:pPr>
        <w:widowControl w:val="0"/>
        <w:autoSpaceDE w:val="0"/>
        <w:autoSpaceDN w:val="0"/>
        <w:adjustRightInd w:val="0"/>
        <w:rPr>
          <w:rFonts w:cs="Verdana"/>
          <w:color w:val="262626"/>
        </w:rPr>
      </w:pPr>
    </w:p>
    <w:p w14:paraId="414DE468" w14:textId="77777777" w:rsidR="00971005" w:rsidRDefault="00971005" w:rsidP="00A22410">
      <w:pPr>
        <w:widowControl w:val="0"/>
        <w:autoSpaceDE w:val="0"/>
        <w:autoSpaceDN w:val="0"/>
        <w:adjustRightInd w:val="0"/>
        <w:rPr>
          <w:rFonts w:cs="Verdana"/>
          <w:color w:val="262626"/>
        </w:rPr>
      </w:pPr>
    </w:p>
    <w:p w14:paraId="78214515" w14:textId="77777777" w:rsidR="00900C6A" w:rsidRPr="00EC3881" w:rsidRDefault="00900C6A" w:rsidP="00A22410">
      <w:pPr>
        <w:widowControl w:val="0"/>
        <w:autoSpaceDE w:val="0"/>
        <w:autoSpaceDN w:val="0"/>
        <w:adjustRightInd w:val="0"/>
        <w:rPr>
          <w:rFonts w:cs="Verdana"/>
          <w:color w:val="262626"/>
        </w:rPr>
      </w:pPr>
    </w:p>
    <w:p w14:paraId="0A9AF9C0" w14:textId="77777777" w:rsidR="00790345" w:rsidRPr="00790345" w:rsidRDefault="00790345" w:rsidP="00A22410">
      <w:pPr>
        <w:widowControl w:val="0"/>
        <w:autoSpaceDE w:val="0"/>
        <w:autoSpaceDN w:val="0"/>
        <w:adjustRightInd w:val="0"/>
        <w:rPr>
          <w:rFonts w:cs="Verdana"/>
          <w:b/>
          <w:color w:val="262626"/>
        </w:rPr>
      </w:pPr>
    </w:p>
    <w:p w14:paraId="262A3D77" w14:textId="77777777" w:rsidR="00A22410" w:rsidRDefault="00A22410" w:rsidP="00566374">
      <w:pPr>
        <w:widowControl w:val="0"/>
        <w:autoSpaceDE w:val="0"/>
        <w:autoSpaceDN w:val="0"/>
        <w:adjustRightInd w:val="0"/>
        <w:spacing w:after="120"/>
        <w:rPr>
          <w:rFonts w:cs="Verdana"/>
          <w:color w:val="262626"/>
        </w:rPr>
      </w:pPr>
    </w:p>
    <w:p w14:paraId="3D84D320" w14:textId="77777777" w:rsidR="00A22410" w:rsidRDefault="00A22410" w:rsidP="00566374">
      <w:pPr>
        <w:widowControl w:val="0"/>
        <w:autoSpaceDE w:val="0"/>
        <w:autoSpaceDN w:val="0"/>
        <w:adjustRightInd w:val="0"/>
        <w:spacing w:after="120"/>
        <w:rPr>
          <w:rFonts w:cs="Verdana"/>
          <w:color w:val="262626"/>
        </w:rPr>
      </w:pPr>
    </w:p>
    <w:p w14:paraId="4E86FCE3" w14:textId="77777777" w:rsidR="00A22410" w:rsidRDefault="00A22410" w:rsidP="00566374">
      <w:pPr>
        <w:widowControl w:val="0"/>
        <w:autoSpaceDE w:val="0"/>
        <w:autoSpaceDN w:val="0"/>
        <w:adjustRightInd w:val="0"/>
        <w:spacing w:after="120"/>
        <w:rPr>
          <w:rFonts w:cs="Verdana"/>
          <w:color w:val="262626"/>
        </w:rPr>
      </w:pPr>
    </w:p>
    <w:p w14:paraId="2BA05DDE" w14:textId="77777777" w:rsidR="00A22410" w:rsidRPr="000C06E4" w:rsidRDefault="00A22410" w:rsidP="00566374">
      <w:pPr>
        <w:widowControl w:val="0"/>
        <w:autoSpaceDE w:val="0"/>
        <w:autoSpaceDN w:val="0"/>
        <w:adjustRightInd w:val="0"/>
        <w:spacing w:after="120"/>
        <w:rPr>
          <w:rFonts w:cs="Verdana"/>
          <w:color w:val="262626"/>
        </w:rPr>
      </w:pPr>
    </w:p>
    <w:sectPr w:rsidR="00A22410" w:rsidRPr="000C06E4" w:rsidSect="008C05A6">
      <w:footerReference w:type="even" r:id="rId32"/>
      <w:footerReference w:type="default" r:id="rId3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814569" w14:textId="77777777" w:rsidR="006510E4" w:rsidRDefault="006510E4" w:rsidP="00736B5F">
      <w:r>
        <w:separator/>
      </w:r>
    </w:p>
  </w:endnote>
  <w:endnote w:type="continuationSeparator" w:id="0">
    <w:p w14:paraId="0B5F2CF6" w14:textId="77777777" w:rsidR="006510E4" w:rsidRDefault="006510E4" w:rsidP="00736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Georgia">
    <w:panose1 w:val="02040502050405020303"/>
    <w:charset w:val="00"/>
    <w:family w:val="auto"/>
    <w:pitch w:val="variable"/>
    <w:sig w:usb0="00000287" w:usb1="00000000" w:usb2="00000000" w:usb3="00000000" w:csb0="0000009F" w:csb1="00000000"/>
  </w:font>
  <w:font w:name="Helvetica Neue Light">
    <w:panose1 w:val="02000403000000020004"/>
    <w:charset w:val="00"/>
    <w:family w:val="auto"/>
    <w:pitch w:val="variable"/>
    <w:sig w:usb0="A00002FF" w:usb1="5000205B" w:usb2="00000002" w:usb3="00000000" w:csb0="00000007" w:csb1="00000000"/>
  </w:font>
  <w:font w:name="PT Sans">
    <w:panose1 w:val="020B0503020203020204"/>
    <w:charset w:val="00"/>
    <w:family w:val="auto"/>
    <w:pitch w:val="variable"/>
    <w:sig w:usb0="A00002EF" w:usb1="5000204B" w:usb2="00000000" w:usb3="00000000" w:csb0="00000097" w:csb1="00000000"/>
  </w:font>
  <w:font w:name="Palatino Linotype">
    <w:panose1 w:val="02040502050505030304"/>
    <w:charset w:val="00"/>
    <w:family w:val="auto"/>
    <w:pitch w:val="variable"/>
    <w:sig w:usb0="E0000287" w:usb1="40000013"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0EE11" w14:textId="77777777" w:rsidR="006510E4" w:rsidRDefault="006510E4" w:rsidP="0064382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D3D4A1" w14:textId="77777777" w:rsidR="006510E4" w:rsidRDefault="006510E4" w:rsidP="00736B5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FD73E" w14:textId="77777777" w:rsidR="006510E4" w:rsidRDefault="006510E4" w:rsidP="0064382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A7DE1">
      <w:rPr>
        <w:rStyle w:val="PageNumber"/>
        <w:noProof/>
      </w:rPr>
      <w:t>1</w:t>
    </w:r>
    <w:r>
      <w:rPr>
        <w:rStyle w:val="PageNumber"/>
      </w:rPr>
      <w:fldChar w:fldCharType="end"/>
    </w:r>
  </w:p>
  <w:p w14:paraId="7B6C7E8D" w14:textId="77777777" w:rsidR="006510E4" w:rsidRDefault="006510E4" w:rsidP="00736B5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816D03" w14:textId="77777777" w:rsidR="006510E4" w:rsidRDefault="006510E4" w:rsidP="00736B5F">
      <w:r>
        <w:separator/>
      </w:r>
    </w:p>
  </w:footnote>
  <w:footnote w:type="continuationSeparator" w:id="0">
    <w:p w14:paraId="7A653BFE" w14:textId="77777777" w:rsidR="006510E4" w:rsidRDefault="006510E4" w:rsidP="00736B5F">
      <w:r>
        <w:continuationSeparator/>
      </w:r>
    </w:p>
  </w:footnote>
  <w:footnote w:id="1">
    <w:p w14:paraId="49D1F252" w14:textId="6AD6D3CF" w:rsidR="006510E4" w:rsidRPr="00ED2F6A" w:rsidRDefault="006510E4" w:rsidP="00ED2F6A">
      <w:pPr>
        <w:widowControl w:val="0"/>
        <w:autoSpaceDE w:val="0"/>
        <w:autoSpaceDN w:val="0"/>
        <w:adjustRightInd w:val="0"/>
        <w:rPr>
          <w:rFonts w:cs="Arial"/>
          <w:color w:val="000000"/>
          <w:sz w:val="16"/>
          <w:szCs w:val="16"/>
        </w:rPr>
      </w:pPr>
      <w:r>
        <w:rPr>
          <w:rStyle w:val="FootnoteReference"/>
        </w:rPr>
        <w:footnoteRef/>
      </w:r>
      <w:r>
        <w:t xml:space="preserve"> </w:t>
      </w:r>
      <w:r w:rsidRPr="00ED2F6A">
        <w:rPr>
          <w:sz w:val="16"/>
          <w:szCs w:val="16"/>
        </w:rPr>
        <w:t xml:space="preserve">“Renewable Energy Investment Surges, Nearly Surpassing 2011 High-Water Mark.” Think Progress, January 9, 2015. </w:t>
      </w:r>
      <w:hyperlink r:id="rId1" w:history="1">
        <w:r w:rsidRPr="00ED2F6A">
          <w:rPr>
            <w:rStyle w:val="Hyperlink"/>
            <w:sz w:val="16"/>
            <w:szCs w:val="16"/>
          </w:rPr>
          <w:t>http://thinkprogress.org/climate/2015/01/09/3609869/renewable-energy-investment-surges/</w:t>
        </w:r>
      </w:hyperlink>
      <w:r w:rsidRPr="00ED2F6A">
        <w:rPr>
          <w:rStyle w:val="Hyperlink"/>
          <w:sz w:val="16"/>
          <w:szCs w:val="16"/>
        </w:rPr>
        <w:t>.</w:t>
      </w:r>
      <w:r w:rsidRPr="00ED2F6A">
        <w:rPr>
          <w:rStyle w:val="Hyperlink"/>
          <w:sz w:val="16"/>
          <w:szCs w:val="16"/>
          <w:u w:val="none"/>
        </w:rPr>
        <w:t xml:space="preserve">  </w:t>
      </w:r>
      <w:r w:rsidRPr="00ED2F6A">
        <w:rPr>
          <w:rStyle w:val="Hyperlink"/>
          <w:color w:val="auto"/>
          <w:sz w:val="16"/>
          <w:szCs w:val="16"/>
          <w:u w:val="none"/>
        </w:rPr>
        <w:t xml:space="preserve">And </w:t>
      </w:r>
      <w:r w:rsidRPr="00ED2F6A">
        <w:rPr>
          <w:rFonts w:cs="Arial"/>
          <w:color w:val="000000"/>
          <w:sz w:val="16"/>
          <w:szCs w:val="16"/>
        </w:rPr>
        <w:t xml:space="preserve"> “</w:t>
      </w:r>
      <w:r w:rsidRPr="00ED2F6A">
        <w:rPr>
          <w:rFonts w:cs="Arial"/>
          <w:bCs/>
          <w:color w:val="000000"/>
          <w:sz w:val="16"/>
          <w:szCs w:val="16"/>
        </w:rPr>
        <w:t>GLOBAL TRENDS IN CLEAN ENERGY INVESTMENT</w:t>
      </w:r>
      <w:r>
        <w:rPr>
          <w:rFonts w:cs="Arial"/>
          <w:b/>
          <w:bCs/>
          <w:color w:val="000000"/>
          <w:sz w:val="16"/>
          <w:szCs w:val="16"/>
        </w:rPr>
        <w:t xml:space="preserve">” </w:t>
      </w:r>
      <w:r w:rsidRPr="00ED2F6A">
        <w:rPr>
          <w:rFonts w:cs="Arial"/>
          <w:color w:val="000000"/>
          <w:sz w:val="16"/>
          <w:szCs w:val="16"/>
        </w:rPr>
        <w:t>Rebound in clean energy investment in 2014 beats expectations”</w:t>
      </w:r>
      <w:r>
        <w:rPr>
          <w:rFonts w:cs="Arial"/>
          <w:color w:val="000000"/>
          <w:sz w:val="16"/>
          <w:szCs w:val="16"/>
        </w:rPr>
        <w:t xml:space="preserve"> </w:t>
      </w:r>
      <w:r w:rsidRPr="00ED2F6A">
        <w:rPr>
          <w:rFonts w:cs="Arial"/>
          <w:color w:val="000000"/>
          <w:sz w:val="16"/>
          <w:szCs w:val="16"/>
        </w:rPr>
        <w:t xml:space="preserve">Bloomberg New Energy Finance, January 9, 2015. </w:t>
      </w:r>
    </w:p>
    <w:p w14:paraId="39BC333B" w14:textId="415671A3" w:rsidR="006510E4" w:rsidRDefault="007A7DE1" w:rsidP="00421C9E">
      <w:hyperlink r:id="rId2" w:history="1">
        <w:r w:rsidR="006510E4" w:rsidRPr="00ED2F6A">
          <w:rPr>
            <w:rStyle w:val="Hyperlink"/>
            <w:rFonts w:cs="Times"/>
            <w:sz w:val="16"/>
            <w:szCs w:val="16"/>
          </w:rPr>
          <w:t>http://about.bnef.com/presentations/clean-energy-investment-q4-2014-fact-pack/content/uploads/sites/4/2015/01/Q4-investment-fact-pack.pdf</w:t>
        </w:r>
      </w:hyperlink>
    </w:p>
  </w:footnote>
  <w:footnote w:id="2">
    <w:p w14:paraId="0E3A8DC1" w14:textId="3B80D3F3" w:rsidR="006510E4" w:rsidRPr="00421C9E" w:rsidRDefault="006510E4" w:rsidP="00812419">
      <w:pPr>
        <w:widowControl w:val="0"/>
        <w:autoSpaceDE w:val="0"/>
        <w:autoSpaceDN w:val="0"/>
        <w:adjustRightInd w:val="0"/>
        <w:rPr>
          <w:rFonts w:cs="Calibri"/>
          <w:sz w:val="16"/>
          <w:szCs w:val="16"/>
        </w:rPr>
      </w:pPr>
      <w:r>
        <w:rPr>
          <w:rStyle w:val="FootnoteReference"/>
        </w:rPr>
        <w:footnoteRef/>
      </w:r>
      <w:r>
        <w:t xml:space="preserve"> </w:t>
      </w:r>
      <w:r w:rsidRPr="00421C9E">
        <w:rPr>
          <w:sz w:val="16"/>
          <w:szCs w:val="16"/>
        </w:rPr>
        <w:t>“</w:t>
      </w:r>
      <w:r w:rsidRPr="00421C9E">
        <w:rPr>
          <w:rFonts w:cs="Times New Roman"/>
          <w:bCs/>
          <w:sz w:val="16"/>
          <w:szCs w:val="16"/>
        </w:rPr>
        <w:t>Solar Power in the U.S. Doubled in 2014 and Other Good Clean Energy News.”</w:t>
      </w:r>
      <w:r>
        <w:rPr>
          <w:rFonts w:cs="Times New Roman"/>
          <w:bCs/>
          <w:sz w:val="16"/>
          <w:szCs w:val="16"/>
        </w:rPr>
        <w:t xml:space="preserve"> Truthdig.com, December 6, 2014.</w:t>
      </w:r>
    </w:p>
    <w:p w14:paraId="233B32D7" w14:textId="0A5DEDB5" w:rsidR="006510E4" w:rsidRPr="00421C9E" w:rsidRDefault="007A7DE1" w:rsidP="00421C9E">
      <w:pPr>
        <w:widowControl w:val="0"/>
        <w:autoSpaceDE w:val="0"/>
        <w:autoSpaceDN w:val="0"/>
        <w:adjustRightInd w:val="0"/>
        <w:rPr>
          <w:rFonts w:cs="Calibri"/>
          <w:sz w:val="16"/>
          <w:szCs w:val="16"/>
        </w:rPr>
      </w:pPr>
      <w:hyperlink r:id="rId3" w:history="1">
        <w:r w:rsidR="006510E4" w:rsidRPr="00421C9E">
          <w:rPr>
            <w:rFonts w:cs="Times New Roman"/>
            <w:bCs/>
            <w:color w:val="0000FF"/>
            <w:sz w:val="16"/>
            <w:szCs w:val="16"/>
          </w:rPr>
          <w:t>http://www.truthdig.com/report/item/solar_power_in_us_doubled_2014_other_good_clean_energy_news_20141206/</w:t>
        </w:r>
      </w:hyperlink>
    </w:p>
  </w:footnote>
  <w:footnote w:id="3">
    <w:p w14:paraId="7BBF3E06" w14:textId="446C5770" w:rsidR="006510E4" w:rsidRPr="0047177D" w:rsidRDefault="006510E4" w:rsidP="00421C9E">
      <w:pPr>
        <w:pStyle w:val="FootnoteText"/>
        <w:rPr>
          <w:rFonts w:cs="Helvetica"/>
          <w:bCs/>
          <w:sz w:val="16"/>
          <w:szCs w:val="16"/>
        </w:rPr>
      </w:pPr>
      <w:r>
        <w:rPr>
          <w:rStyle w:val="FootnoteReference"/>
        </w:rPr>
        <w:footnoteRef/>
      </w:r>
      <w:r>
        <w:t xml:space="preserve"> </w:t>
      </w:r>
      <w:r w:rsidRPr="0053214D">
        <w:rPr>
          <w:sz w:val="16"/>
          <w:szCs w:val="16"/>
        </w:rPr>
        <w:t>“</w:t>
      </w:r>
      <w:r w:rsidRPr="00421C9E">
        <w:rPr>
          <w:rFonts w:cs="Helvetica"/>
          <w:bCs/>
          <w:sz w:val="16"/>
          <w:szCs w:val="16"/>
        </w:rPr>
        <w:t>Renewables Comprise Majority Of New Generation For November, Year</w:t>
      </w:r>
      <w:r>
        <w:rPr>
          <w:rFonts w:cs="Helvetica"/>
          <w:bCs/>
          <w:sz w:val="16"/>
          <w:szCs w:val="16"/>
        </w:rPr>
        <w:t xml:space="preserve">.”  North American Wind Power, December 24, 2014 </w:t>
      </w:r>
      <w:hyperlink r:id="rId4" w:history="1">
        <w:r w:rsidRPr="000756DD">
          <w:rPr>
            <w:rStyle w:val="Hyperlink"/>
            <w:rFonts w:cs="Helvetica"/>
            <w:bCs/>
            <w:sz w:val="16"/>
            <w:szCs w:val="16"/>
          </w:rPr>
          <w:t>http://www.nawindpower.com/e107_plugins/content/content.php?content.13786</w:t>
        </w:r>
      </w:hyperlink>
    </w:p>
  </w:footnote>
  <w:footnote w:id="4">
    <w:p w14:paraId="4BEF94D6" w14:textId="77777777" w:rsidR="006510E4" w:rsidRDefault="006510E4" w:rsidP="0047177D">
      <w:pPr>
        <w:pStyle w:val="FootnoteText"/>
        <w:rPr>
          <w:sz w:val="16"/>
          <w:szCs w:val="16"/>
        </w:rPr>
      </w:pPr>
      <w:r>
        <w:rPr>
          <w:rStyle w:val="FootnoteReference"/>
        </w:rPr>
        <w:footnoteRef/>
      </w:r>
      <w:r>
        <w:t xml:space="preserve"> “</w:t>
      </w:r>
      <w:r>
        <w:rPr>
          <w:sz w:val="16"/>
          <w:szCs w:val="16"/>
        </w:rPr>
        <w:t xml:space="preserve">Power Sector Employment Declines, Except for Renewable Electricity Generators.” Energy Information Administration, December 19, 2014. </w:t>
      </w:r>
      <w:hyperlink r:id="rId5" w:history="1">
        <w:r w:rsidRPr="000756DD">
          <w:rPr>
            <w:rStyle w:val="Hyperlink"/>
            <w:sz w:val="16"/>
            <w:szCs w:val="16"/>
          </w:rPr>
          <w:t>http://www.eia.gov/todayinenergy/detail.cfm?id=19271</w:t>
        </w:r>
      </w:hyperlink>
    </w:p>
    <w:p w14:paraId="412DACE2" w14:textId="77777777" w:rsidR="006510E4" w:rsidRPr="00DF16F8" w:rsidRDefault="006510E4" w:rsidP="0047177D">
      <w:pPr>
        <w:pStyle w:val="FootnoteText"/>
        <w:rPr>
          <w:sz w:val="16"/>
          <w:szCs w:val="16"/>
        </w:rPr>
      </w:pPr>
    </w:p>
  </w:footnote>
  <w:footnote w:id="5">
    <w:p w14:paraId="460F8E75" w14:textId="77777777" w:rsidR="006510E4" w:rsidRPr="00133F3E" w:rsidRDefault="006510E4" w:rsidP="00ED2F6A">
      <w:pPr>
        <w:pStyle w:val="FootnoteText"/>
        <w:rPr>
          <w:rFonts w:cs="Georgia"/>
          <w:sz w:val="16"/>
          <w:szCs w:val="16"/>
        </w:rPr>
      </w:pPr>
      <w:r>
        <w:rPr>
          <w:rStyle w:val="FootnoteReference"/>
        </w:rPr>
        <w:footnoteRef/>
      </w:r>
      <w:r>
        <w:t xml:space="preserve"> </w:t>
      </w:r>
      <w:r>
        <w:rPr>
          <w:sz w:val="16"/>
          <w:szCs w:val="16"/>
        </w:rPr>
        <w:t>“</w:t>
      </w:r>
      <w:r w:rsidRPr="009F135B">
        <w:rPr>
          <w:rFonts w:cs="Georgia"/>
          <w:sz w:val="16"/>
          <w:szCs w:val="16"/>
        </w:rPr>
        <w:t>Solar Energy's Future Is Shining, But Is First Solar Still Competitive? The Algorithmic Perspective</w:t>
      </w:r>
      <w:r>
        <w:rPr>
          <w:rFonts w:cs="Georgia"/>
          <w:sz w:val="16"/>
          <w:szCs w:val="16"/>
        </w:rPr>
        <w:t xml:space="preserve">.” Seekingalpha.com, November 29, 2014. </w:t>
      </w:r>
      <w:hyperlink r:id="rId6" w:history="1">
        <w:r w:rsidRPr="00CF3BC5">
          <w:rPr>
            <w:rStyle w:val="Hyperlink"/>
            <w:rFonts w:cs="Georgia"/>
            <w:sz w:val="16"/>
            <w:szCs w:val="16"/>
          </w:rPr>
          <w:t>http://seekingalpha.com/article/2718155-solar-energys-future-is-shining-but-is-first-solar-still-competitive-the-algorithmic-perspective</w:t>
        </w:r>
      </w:hyperlink>
    </w:p>
  </w:footnote>
  <w:footnote w:id="6">
    <w:p w14:paraId="5DD8FA70" w14:textId="77777777" w:rsidR="006510E4" w:rsidRPr="005F66FC" w:rsidRDefault="006510E4" w:rsidP="00ED2F6A">
      <w:pPr>
        <w:pStyle w:val="FootnoteText"/>
        <w:rPr>
          <w:rFonts w:ascii="Georgia" w:hAnsi="Georgia" w:cs="Georgia"/>
          <w:sz w:val="16"/>
          <w:szCs w:val="16"/>
        </w:rPr>
      </w:pPr>
      <w:r>
        <w:rPr>
          <w:rStyle w:val="FootnoteReference"/>
        </w:rPr>
        <w:footnoteRef/>
      </w:r>
      <w:r>
        <w:t xml:space="preserve"> </w:t>
      </w:r>
      <w:r>
        <w:rPr>
          <w:sz w:val="16"/>
          <w:szCs w:val="16"/>
        </w:rPr>
        <w:t xml:space="preserve">See </w:t>
      </w:r>
      <w:r w:rsidRPr="00133F3E">
        <w:rPr>
          <w:sz w:val="16"/>
          <w:szCs w:val="16"/>
        </w:rPr>
        <w:t xml:space="preserve">Diane Cardwell, </w:t>
      </w:r>
      <w:r>
        <w:rPr>
          <w:sz w:val="16"/>
          <w:szCs w:val="16"/>
        </w:rPr>
        <w:t xml:space="preserve"> “</w:t>
      </w:r>
      <w:r w:rsidRPr="00133F3E">
        <w:rPr>
          <w:rFonts w:cs="Times"/>
          <w:bCs/>
          <w:iCs/>
          <w:sz w:val="16"/>
          <w:szCs w:val="16"/>
        </w:rPr>
        <w:t>Solar and Wind Energy Start to Win on Price vs. Conventional Fuels</w:t>
      </w:r>
      <w:r>
        <w:rPr>
          <w:rFonts w:cs="Times"/>
          <w:bCs/>
          <w:i/>
          <w:iCs/>
          <w:sz w:val="16"/>
          <w:szCs w:val="16"/>
        </w:rPr>
        <w:t xml:space="preserve">.” </w:t>
      </w:r>
      <w:r>
        <w:rPr>
          <w:rFonts w:cs="Times"/>
          <w:bCs/>
          <w:iCs/>
          <w:sz w:val="16"/>
          <w:szCs w:val="16"/>
        </w:rPr>
        <w:t xml:space="preserve"> New York Times, November 23, 2014. </w:t>
      </w:r>
      <w:hyperlink r:id="rId7" w:history="1">
        <w:r w:rsidRPr="00CF3BC5">
          <w:rPr>
            <w:rStyle w:val="Hyperlink"/>
            <w:rFonts w:cs="Times"/>
            <w:bCs/>
            <w:iCs/>
            <w:sz w:val="16"/>
            <w:szCs w:val="16"/>
          </w:rPr>
          <w:t>http://www.nytimes.com/2014/11/24/business/energy-environment/solar-and-wind-energy-start-to-win-on-price-vs-conventional-fuels.html?_r=1</w:t>
        </w:r>
      </w:hyperlink>
      <w:r>
        <w:rPr>
          <w:rFonts w:cs="Times"/>
          <w:bCs/>
          <w:iCs/>
          <w:sz w:val="16"/>
          <w:szCs w:val="16"/>
        </w:rPr>
        <w:t xml:space="preserve"> and Chip Register, “</w:t>
      </w:r>
      <w:r w:rsidRPr="006E4F0D">
        <w:rPr>
          <w:rFonts w:ascii="Georgia" w:hAnsi="Georgia" w:cs="Georgia"/>
          <w:sz w:val="16"/>
          <w:szCs w:val="16"/>
        </w:rPr>
        <w:t>Solar Continues Trumpin</w:t>
      </w:r>
      <w:r>
        <w:rPr>
          <w:rFonts w:ascii="Georgia" w:hAnsi="Georgia" w:cs="Georgia"/>
          <w:sz w:val="16"/>
          <w:szCs w:val="16"/>
        </w:rPr>
        <w:t xml:space="preserve">g </w:t>
      </w:r>
      <w:r w:rsidRPr="006E4F0D">
        <w:rPr>
          <w:rFonts w:ascii="Georgia" w:hAnsi="Georgia" w:cs="Georgia"/>
          <w:sz w:val="16"/>
          <w:szCs w:val="16"/>
        </w:rPr>
        <w:t>Fossil Fuel Pricing, Wit</w:t>
      </w:r>
      <w:r>
        <w:rPr>
          <w:rFonts w:ascii="Georgia" w:hAnsi="Georgia" w:cs="Georgia"/>
          <w:sz w:val="16"/>
          <w:szCs w:val="16"/>
        </w:rPr>
        <w:t xml:space="preserve">h </w:t>
      </w:r>
      <w:r w:rsidRPr="006E4F0D">
        <w:rPr>
          <w:rFonts w:ascii="Georgia" w:hAnsi="Georgia" w:cs="Georgia"/>
          <w:sz w:val="16"/>
          <w:szCs w:val="16"/>
        </w:rPr>
        <w:t>More Innovations To Come</w:t>
      </w:r>
      <w:r>
        <w:rPr>
          <w:rFonts w:ascii="Georgia" w:hAnsi="Georgia" w:cs="Georgia"/>
          <w:sz w:val="16"/>
          <w:szCs w:val="16"/>
        </w:rPr>
        <w:t xml:space="preserve">.” Forbes, September 11, 2014. </w:t>
      </w:r>
      <w:hyperlink r:id="rId8" w:history="1">
        <w:r w:rsidRPr="00CF3BC5">
          <w:rPr>
            <w:rStyle w:val="Hyperlink"/>
            <w:rFonts w:ascii="Georgia" w:hAnsi="Georgia" w:cs="Georgia"/>
            <w:sz w:val="16"/>
            <w:szCs w:val="16"/>
          </w:rPr>
          <w:t>http://www.forbes.com/sites/chipregister1/2014/09/11/solar-continues-trumping-fossil-fuel-pricing-with-more-innovations-to-come/</w:t>
        </w:r>
      </w:hyperlink>
    </w:p>
  </w:footnote>
  <w:footnote w:id="7">
    <w:p w14:paraId="680C9604" w14:textId="77777777" w:rsidR="006510E4" w:rsidRPr="0054574A" w:rsidRDefault="006510E4" w:rsidP="00ED2F6A">
      <w:pPr>
        <w:pStyle w:val="FootnoteText"/>
        <w:rPr>
          <w:sz w:val="16"/>
          <w:szCs w:val="16"/>
        </w:rPr>
      </w:pPr>
      <w:r>
        <w:rPr>
          <w:rStyle w:val="FootnoteReference"/>
        </w:rPr>
        <w:footnoteRef/>
      </w:r>
      <w:r>
        <w:t xml:space="preserve"> </w:t>
      </w:r>
      <w:r>
        <w:rPr>
          <w:sz w:val="16"/>
          <w:szCs w:val="16"/>
        </w:rPr>
        <w:t xml:space="preserve">Ryan Holeywell, “Report: Energy Efficiency Could Cost US Utilities $48 Billion.” Fuelfix.com, December 8, 2014. </w:t>
      </w:r>
      <w:hyperlink r:id="rId9" w:history="1">
        <w:r w:rsidRPr="004A2D31">
          <w:rPr>
            <w:rStyle w:val="Hyperlink"/>
            <w:sz w:val="16"/>
            <w:szCs w:val="16"/>
          </w:rPr>
          <w:t>http://fuelfix.com/blog/2014/12/08/report-energy-efficiency-could-cost-u-s-utilities-48-billion/</w:t>
        </w:r>
      </w:hyperlink>
    </w:p>
  </w:footnote>
  <w:footnote w:id="8">
    <w:p w14:paraId="7B8300AF" w14:textId="4976120F" w:rsidR="006510E4" w:rsidRPr="00831CB6" w:rsidRDefault="006510E4" w:rsidP="00831CB6">
      <w:pPr>
        <w:rPr>
          <w:rFonts w:cs="Times"/>
          <w:color w:val="1A1A1A"/>
          <w:sz w:val="16"/>
          <w:szCs w:val="16"/>
        </w:rPr>
      </w:pPr>
      <w:r>
        <w:rPr>
          <w:rStyle w:val="FootnoteReference"/>
        </w:rPr>
        <w:footnoteRef/>
      </w:r>
      <w:r>
        <w:t xml:space="preserve"> “</w:t>
      </w:r>
      <w:r w:rsidRPr="00831CB6">
        <w:rPr>
          <w:rFonts w:cs="Times"/>
          <w:color w:val="1A1A1A"/>
          <w:sz w:val="16"/>
          <w:szCs w:val="16"/>
        </w:rPr>
        <w:t>A Solar System Is Installed in America Every 2.5 Minutes</w:t>
      </w:r>
      <w:r>
        <w:rPr>
          <w:rFonts w:cs="Times"/>
          <w:color w:val="1A1A1A"/>
          <w:sz w:val="16"/>
          <w:szCs w:val="16"/>
        </w:rPr>
        <w:t>.” Greentechsolar, January 12, 2015.</w:t>
      </w:r>
    </w:p>
    <w:p w14:paraId="6BBE3CB2" w14:textId="77777777" w:rsidR="006510E4" w:rsidRDefault="007A7DE1" w:rsidP="00831CB6">
      <w:pPr>
        <w:rPr>
          <w:rFonts w:ascii="Times" w:hAnsi="Times" w:cs="Times"/>
          <w:color w:val="1A1A1A"/>
        </w:rPr>
      </w:pPr>
      <w:hyperlink r:id="rId10" w:history="1">
        <w:r w:rsidR="006510E4" w:rsidRPr="00831CB6">
          <w:rPr>
            <w:rStyle w:val="Hyperlink"/>
            <w:rFonts w:cs="Times"/>
            <w:sz w:val="16"/>
            <w:szCs w:val="16"/>
          </w:rPr>
          <w:t>http://www.greentechmedia.com/articles/read/a-solar-system-is-installed-in-america-every-2.5-minutes</w:t>
        </w:r>
      </w:hyperlink>
    </w:p>
    <w:p w14:paraId="74C3CD39" w14:textId="53D8D049" w:rsidR="006510E4" w:rsidRDefault="006510E4">
      <w:pPr>
        <w:pStyle w:val="FootnoteText"/>
      </w:pPr>
    </w:p>
  </w:footnote>
  <w:footnote w:id="9">
    <w:p w14:paraId="259A7317" w14:textId="77777777" w:rsidR="006510E4" w:rsidRPr="005C3DF9" w:rsidRDefault="006510E4" w:rsidP="005C3DF9">
      <w:pPr>
        <w:widowControl w:val="0"/>
        <w:autoSpaceDE w:val="0"/>
        <w:autoSpaceDN w:val="0"/>
        <w:adjustRightInd w:val="0"/>
        <w:rPr>
          <w:rFonts w:asciiTheme="majorHAnsi" w:hAnsiTheme="majorHAnsi" w:cs="Times New Roman"/>
          <w:color w:val="000000"/>
          <w:sz w:val="16"/>
          <w:szCs w:val="16"/>
        </w:rPr>
      </w:pPr>
      <w:r>
        <w:rPr>
          <w:rStyle w:val="FootnoteReference"/>
        </w:rPr>
        <w:footnoteRef/>
      </w:r>
      <w:r>
        <w:t xml:space="preserve"> “</w:t>
      </w:r>
      <w:r>
        <w:rPr>
          <w:sz w:val="16"/>
          <w:szCs w:val="16"/>
        </w:rPr>
        <w:t xml:space="preserve">US Solar Market Insight: Q3 2014.” SEIA and GTM Research, 2014. </w:t>
      </w:r>
    </w:p>
    <w:p w14:paraId="313DF201" w14:textId="77777777" w:rsidR="006510E4" w:rsidRPr="005C3DF9" w:rsidRDefault="007A7DE1" w:rsidP="005C3DF9">
      <w:pPr>
        <w:widowControl w:val="0"/>
        <w:autoSpaceDE w:val="0"/>
        <w:autoSpaceDN w:val="0"/>
        <w:adjustRightInd w:val="0"/>
        <w:rPr>
          <w:rFonts w:asciiTheme="majorHAnsi" w:hAnsiTheme="majorHAnsi" w:cs="Times New Roman"/>
          <w:color w:val="000000"/>
          <w:sz w:val="16"/>
          <w:szCs w:val="16"/>
        </w:rPr>
      </w:pPr>
      <w:hyperlink r:id="rId11" w:history="1">
        <w:r w:rsidR="006510E4" w:rsidRPr="005C3DF9">
          <w:rPr>
            <w:rStyle w:val="Hyperlink"/>
            <w:rFonts w:asciiTheme="majorHAnsi" w:hAnsiTheme="majorHAnsi" w:cs="Times New Roman"/>
            <w:sz w:val="16"/>
            <w:szCs w:val="16"/>
          </w:rPr>
          <w:t>http://www.seia.org/sites/default/files/resources/iV39f8059N.pdf</w:t>
        </w:r>
      </w:hyperlink>
    </w:p>
    <w:p w14:paraId="76E19C4C" w14:textId="2BB43924" w:rsidR="006510E4" w:rsidRPr="005C3DF9" w:rsidRDefault="006510E4">
      <w:pPr>
        <w:pStyle w:val="FootnoteText"/>
        <w:rPr>
          <w:sz w:val="16"/>
          <w:szCs w:val="16"/>
        </w:rPr>
      </w:pPr>
    </w:p>
    <w:p w14:paraId="0721D337" w14:textId="1597AD57" w:rsidR="006510E4" w:rsidRDefault="006510E4">
      <w:pPr>
        <w:pStyle w:val="FootnoteText"/>
      </w:pPr>
    </w:p>
  </w:footnote>
  <w:footnote w:id="10">
    <w:p w14:paraId="45E416E8" w14:textId="77777777" w:rsidR="006510E4" w:rsidRPr="005F66FC" w:rsidRDefault="006510E4" w:rsidP="00ED2F6A">
      <w:pPr>
        <w:pStyle w:val="FootnoteText"/>
        <w:rPr>
          <w:sz w:val="16"/>
          <w:szCs w:val="16"/>
        </w:rPr>
      </w:pPr>
      <w:r>
        <w:rPr>
          <w:rStyle w:val="FootnoteReference"/>
        </w:rPr>
        <w:footnoteRef/>
      </w:r>
      <w:r>
        <w:t xml:space="preserve"> </w:t>
      </w:r>
      <w:r w:rsidRPr="005F66FC">
        <w:rPr>
          <w:sz w:val="16"/>
          <w:szCs w:val="16"/>
        </w:rPr>
        <w:t>“Solar Industry: Is Grid Parity Around the Corner?” UBS, June 10, 2014.</w:t>
      </w:r>
      <w:r>
        <w:rPr>
          <w:sz w:val="16"/>
          <w:szCs w:val="16"/>
        </w:rPr>
        <w:t xml:space="preserve"> (subscription required)</w:t>
      </w:r>
    </w:p>
  </w:footnote>
  <w:footnote w:id="11">
    <w:p w14:paraId="52D23F5F" w14:textId="77777777" w:rsidR="006510E4" w:rsidRPr="00EC05ED" w:rsidRDefault="006510E4" w:rsidP="00ED2F6A">
      <w:pPr>
        <w:pStyle w:val="FootnoteText"/>
        <w:rPr>
          <w:sz w:val="16"/>
          <w:szCs w:val="16"/>
        </w:rPr>
      </w:pPr>
      <w:r>
        <w:rPr>
          <w:rStyle w:val="FootnoteReference"/>
        </w:rPr>
        <w:footnoteRef/>
      </w:r>
      <w:r>
        <w:t xml:space="preserve"> </w:t>
      </w:r>
      <w:r>
        <w:rPr>
          <w:sz w:val="16"/>
          <w:szCs w:val="16"/>
        </w:rPr>
        <w:t xml:space="preserve">“Solar Power &amp; Energy Storage: Policy Factors vs. Improving Economics.” Morgan Stanley, July 28, 2014. </w:t>
      </w:r>
      <w:hyperlink r:id="rId12" w:history="1">
        <w:r w:rsidRPr="00CF3BC5">
          <w:rPr>
            <w:rStyle w:val="Hyperlink"/>
            <w:sz w:val="16"/>
            <w:szCs w:val="16"/>
          </w:rPr>
          <w:t>http://forms.greentechmedia.com/Extranet/95679/Morgan%20Stanley%20Solar%20Power%20&amp;%20Energy%20Storage%20Blue%20Paper%20July%2029%202014.pdf</w:t>
        </w:r>
      </w:hyperlink>
    </w:p>
  </w:footnote>
  <w:footnote w:id="12">
    <w:p w14:paraId="250F0A12" w14:textId="4D022C48" w:rsidR="006510E4" w:rsidRPr="00A81C59" w:rsidRDefault="006510E4">
      <w:pPr>
        <w:pStyle w:val="FootnoteText"/>
        <w:rPr>
          <w:rFonts w:asciiTheme="majorHAnsi" w:hAnsiTheme="majorHAnsi" w:cs="Verdana"/>
          <w:bCs/>
          <w:color w:val="2E3D48"/>
          <w:sz w:val="16"/>
          <w:szCs w:val="16"/>
        </w:rPr>
      </w:pPr>
      <w:r>
        <w:rPr>
          <w:rStyle w:val="FootnoteReference"/>
        </w:rPr>
        <w:footnoteRef/>
      </w:r>
      <w:r w:rsidRPr="00A81C59">
        <w:rPr>
          <w:sz w:val="16"/>
          <w:szCs w:val="16"/>
        </w:rPr>
        <w:t xml:space="preserve"> “</w:t>
      </w:r>
      <w:r w:rsidRPr="00A81C59">
        <w:rPr>
          <w:rFonts w:asciiTheme="majorHAnsi" w:hAnsiTheme="majorHAnsi" w:cs="Verdana"/>
          <w:bCs/>
          <w:color w:val="2E3D48"/>
          <w:sz w:val="16"/>
          <w:szCs w:val="16"/>
        </w:rPr>
        <w:t>Deutsche Bank anticipates 2015 global solar PV demand at 54 GW</w:t>
      </w:r>
      <w:r>
        <w:rPr>
          <w:rFonts w:asciiTheme="majorHAnsi" w:hAnsiTheme="majorHAnsi" w:cs="Verdana"/>
          <w:bCs/>
          <w:color w:val="2E3D48"/>
          <w:sz w:val="16"/>
          <w:szCs w:val="16"/>
        </w:rPr>
        <w:t xml:space="preserve">.” SolarServer, January 1, 2015. </w:t>
      </w:r>
      <w:hyperlink r:id="rId13" w:history="1">
        <w:r w:rsidRPr="00F9557A">
          <w:rPr>
            <w:rStyle w:val="Hyperlink"/>
            <w:rFonts w:asciiTheme="majorHAnsi" w:hAnsiTheme="majorHAnsi" w:cs="Verdana"/>
            <w:bCs/>
            <w:sz w:val="16"/>
            <w:szCs w:val="16"/>
          </w:rPr>
          <w:t>http://www.solarserver.com/solar-magazine/solar-news/current/2015/kw03/deutsche-bank-anticipates-2015-global-solar-pv-demand-at-54-gw.html</w:t>
        </w:r>
      </w:hyperlink>
    </w:p>
  </w:footnote>
  <w:footnote w:id="13">
    <w:p w14:paraId="66D5FDFF" w14:textId="77777777" w:rsidR="006510E4" w:rsidRPr="00E20FED" w:rsidRDefault="006510E4" w:rsidP="00ED2F6A">
      <w:pPr>
        <w:pStyle w:val="FootnoteText"/>
        <w:rPr>
          <w:sz w:val="16"/>
          <w:szCs w:val="16"/>
        </w:rPr>
      </w:pPr>
      <w:r>
        <w:rPr>
          <w:rStyle w:val="FootnoteReference"/>
        </w:rPr>
        <w:footnoteRef/>
      </w:r>
      <w:r>
        <w:t xml:space="preserve"> </w:t>
      </w:r>
      <w:r>
        <w:rPr>
          <w:sz w:val="16"/>
          <w:szCs w:val="16"/>
        </w:rPr>
        <w:t xml:space="preserve">Giles Parkinson, “UBS and Citigroup Expect Massive Solar-EV Revolution.” Energy Post, August 25, 2014. </w:t>
      </w:r>
      <w:hyperlink r:id="rId14" w:history="1">
        <w:r w:rsidRPr="00CF3BC5">
          <w:rPr>
            <w:rStyle w:val="Hyperlink"/>
            <w:sz w:val="16"/>
            <w:szCs w:val="16"/>
          </w:rPr>
          <w:t>http://www.energypost.eu/ubs-citigroup-warn-investors-massive-revolution-energy-industry/</w:t>
        </w:r>
      </w:hyperlink>
    </w:p>
  </w:footnote>
  <w:footnote w:id="14">
    <w:p w14:paraId="58C1445E" w14:textId="7CE1AEB1" w:rsidR="006510E4" w:rsidRPr="0094589A" w:rsidRDefault="006510E4" w:rsidP="0094589A">
      <w:pPr>
        <w:widowControl w:val="0"/>
        <w:autoSpaceDE w:val="0"/>
        <w:autoSpaceDN w:val="0"/>
        <w:adjustRightInd w:val="0"/>
        <w:rPr>
          <w:rFonts w:cs="Arial"/>
          <w:color w:val="1C1C1C"/>
          <w:sz w:val="16"/>
          <w:szCs w:val="16"/>
        </w:rPr>
      </w:pPr>
      <w:r>
        <w:rPr>
          <w:rStyle w:val="FootnoteReference"/>
        </w:rPr>
        <w:footnoteRef/>
      </w:r>
      <w:r>
        <w:t xml:space="preserve"> </w:t>
      </w:r>
      <w:r>
        <w:rPr>
          <w:sz w:val="16"/>
          <w:szCs w:val="16"/>
        </w:rPr>
        <w:t>“</w:t>
      </w:r>
      <w:hyperlink r:id="rId15" w:history="1">
        <w:r w:rsidRPr="0094589A">
          <w:rPr>
            <w:rFonts w:cs="Times"/>
            <w:sz w:val="16"/>
            <w:szCs w:val="16"/>
          </w:rPr>
          <w:t>Solar Technique Achieves Record-High 40% Efficiency</w:t>
        </w:r>
      </w:hyperlink>
      <w:r>
        <w:rPr>
          <w:rFonts w:cs="Times"/>
          <w:sz w:val="16"/>
          <w:szCs w:val="16"/>
        </w:rPr>
        <w:t xml:space="preserve">.”  ThinkProgress, December 8, 2014. </w:t>
      </w:r>
    </w:p>
    <w:p w14:paraId="0DA43681" w14:textId="08EF4DBA" w:rsidR="006510E4" w:rsidRPr="00DA32E5" w:rsidRDefault="007A7DE1" w:rsidP="00DA32E5">
      <w:pPr>
        <w:widowControl w:val="0"/>
        <w:autoSpaceDE w:val="0"/>
        <w:autoSpaceDN w:val="0"/>
        <w:adjustRightInd w:val="0"/>
        <w:rPr>
          <w:rFonts w:cs="Calibri"/>
          <w:sz w:val="16"/>
          <w:szCs w:val="16"/>
        </w:rPr>
      </w:pPr>
      <w:hyperlink r:id="rId16" w:history="1">
        <w:r w:rsidR="006510E4" w:rsidRPr="0094589A">
          <w:rPr>
            <w:rStyle w:val="Hyperlink"/>
            <w:rFonts w:cs="Calibri"/>
            <w:sz w:val="16"/>
            <w:szCs w:val="16"/>
          </w:rPr>
          <w:t>http://thinkprogress.org/climate/2014/12/08/3600599/record-high-solar-conversion-efficiency/</w:t>
        </w:r>
      </w:hyperlink>
    </w:p>
  </w:footnote>
  <w:footnote w:id="15">
    <w:p w14:paraId="4247272C" w14:textId="5F985C65" w:rsidR="006510E4" w:rsidRPr="00AB6BB8" w:rsidRDefault="006510E4" w:rsidP="00AB6BB8">
      <w:pPr>
        <w:widowControl w:val="0"/>
        <w:autoSpaceDE w:val="0"/>
        <w:autoSpaceDN w:val="0"/>
        <w:adjustRightInd w:val="0"/>
        <w:spacing w:after="336"/>
        <w:rPr>
          <w:rFonts w:cs="Helvetica Neue Light"/>
          <w:sz w:val="16"/>
          <w:szCs w:val="16"/>
        </w:rPr>
      </w:pPr>
      <w:r>
        <w:rPr>
          <w:rStyle w:val="FootnoteReference"/>
        </w:rPr>
        <w:footnoteRef/>
      </w:r>
      <w:r w:rsidRPr="00DA32E5">
        <w:rPr>
          <w:sz w:val="16"/>
          <w:szCs w:val="16"/>
        </w:rPr>
        <w:t xml:space="preserve"> </w:t>
      </w:r>
      <w:r>
        <w:rPr>
          <w:sz w:val="16"/>
          <w:szCs w:val="16"/>
        </w:rPr>
        <w:t>“</w:t>
      </w:r>
      <w:r w:rsidRPr="00DA32E5">
        <w:rPr>
          <w:rFonts w:cs="Helvetica Neue Light"/>
          <w:sz w:val="16"/>
          <w:szCs w:val="16"/>
        </w:rPr>
        <w:t>Hybrid Material May Help Crush Solar Cell Efficiency Record</w:t>
      </w:r>
      <w:r>
        <w:rPr>
          <w:rFonts w:cs="Helvetica Neue Light"/>
          <w:sz w:val="16"/>
          <w:szCs w:val="16"/>
        </w:rPr>
        <w:t xml:space="preserve">.” IFL Science, October 9, 2014. </w:t>
      </w:r>
      <w:hyperlink r:id="rId17" w:history="1">
        <w:r w:rsidRPr="00F9557A">
          <w:rPr>
            <w:rStyle w:val="Hyperlink"/>
            <w:rFonts w:cs="Helvetica Neue Light"/>
            <w:sz w:val="16"/>
            <w:szCs w:val="16"/>
          </w:rPr>
          <w:t>http://www.iflscience.com/technology/hybrid-material-may-help-crush-solar-cell-efficiency-record</w:t>
        </w:r>
      </w:hyperlink>
    </w:p>
  </w:footnote>
  <w:footnote w:id="16">
    <w:p w14:paraId="6E58951D" w14:textId="3B64BA17" w:rsidR="006510E4" w:rsidRPr="00762DA3" w:rsidRDefault="006510E4">
      <w:pPr>
        <w:pStyle w:val="FootnoteText"/>
        <w:rPr>
          <w:sz w:val="16"/>
          <w:szCs w:val="16"/>
        </w:rPr>
      </w:pPr>
      <w:r>
        <w:rPr>
          <w:rStyle w:val="FootnoteReference"/>
        </w:rPr>
        <w:footnoteRef/>
      </w:r>
      <w:r>
        <w:rPr>
          <w:sz w:val="16"/>
          <w:szCs w:val="16"/>
        </w:rPr>
        <w:t xml:space="preserve"> “New Materials Yield Record Efficiency for Polymer Solar Cells.” Science Daily, November 10, 2104. </w:t>
      </w:r>
      <w:hyperlink r:id="rId18" w:history="1">
        <w:r w:rsidRPr="00F9557A">
          <w:rPr>
            <w:rStyle w:val="Hyperlink"/>
            <w:sz w:val="16"/>
            <w:szCs w:val="16"/>
          </w:rPr>
          <w:t>http://www.sciencedaily.com/releases/2014/11/141110110424.htm</w:t>
        </w:r>
      </w:hyperlink>
    </w:p>
  </w:footnote>
  <w:footnote w:id="17">
    <w:p w14:paraId="6B6F58CC" w14:textId="186DAEB0" w:rsidR="006510E4" w:rsidRPr="00762DA3" w:rsidRDefault="006510E4">
      <w:pPr>
        <w:pStyle w:val="FootnoteText"/>
        <w:rPr>
          <w:sz w:val="16"/>
          <w:szCs w:val="16"/>
        </w:rPr>
      </w:pPr>
      <w:r>
        <w:rPr>
          <w:rStyle w:val="FootnoteReference"/>
        </w:rPr>
        <w:footnoteRef/>
      </w:r>
      <w:r>
        <w:t xml:space="preserve"> </w:t>
      </w:r>
      <w:r>
        <w:rPr>
          <w:sz w:val="16"/>
          <w:szCs w:val="16"/>
        </w:rPr>
        <w:t xml:space="preserve">“New Technique Offers Spray-On Solar Cells.” University of Toronto Engineering News, December 5, 2014. </w:t>
      </w:r>
      <w:hyperlink r:id="rId19" w:history="1">
        <w:r w:rsidRPr="00F9557A">
          <w:rPr>
            <w:rStyle w:val="Hyperlink"/>
            <w:sz w:val="16"/>
            <w:szCs w:val="16"/>
          </w:rPr>
          <w:t>http://news.engineering.utoronto.ca/new-technique-offers-spray-on-solar-power/</w:t>
        </w:r>
      </w:hyperlink>
    </w:p>
  </w:footnote>
  <w:footnote w:id="18">
    <w:p w14:paraId="2E92787F" w14:textId="55A76A9A" w:rsidR="006510E4" w:rsidRPr="00E004E1" w:rsidRDefault="006510E4" w:rsidP="008A3EE7">
      <w:pPr>
        <w:widowControl w:val="0"/>
        <w:autoSpaceDE w:val="0"/>
        <w:autoSpaceDN w:val="0"/>
        <w:adjustRightInd w:val="0"/>
        <w:spacing w:after="400"/>
        <w:rPr>
          <w:sz w:val="16"/>
          <w:szCs w:val="16"/>
        </w:rPr>
      </w:pPr>
      <w:r>
        <w:rPr>
          <w:rStyle w:val="FootnoteReference"/>
        </w:rPr>
        <w:footnoteRef/>
      </w:r>
      <w:r>
        <w:rPr>
          <w:sz w:val="16"/>
          <w:szCs w:val="16"/>
        </w:rPr>
        <w:t xml:space="preserve"> “The Netherlands is Set to Open First Solar Bike Land.” Think Progress, November 11, 2014. </w:t>
      </w:r>
      <w:r w:rsidRPr="0018154A">
        <w:rPr>
          <w:sz w:val="16"/>
          <w:szCs w:val="16"/>
        </w:rPr>
        <w:t>http://thinkprogress.org/climate/2014/11/11/3591195/netherlands-solar-road/</w:t>
      </w:r>
    </w:p>
  </w:footnote>
  <w:footnote w:id="19">
    <w:p w14:paraId="269EF448" w14:textId="74CF5F85" w:rsidR="006510E4" w:rsidRPr="0018154A" w:rsidRDefault="006510E4">
      <w:pPr>
        <w:pStyle w:val="FootnoteText"/>
        <w:rPr>
          <w:sz w:val="16"/>
          <w:szCs w:val="16"/>
        </w:rPr>
      </w:pPr>
      <w:r>
        <w:rPr>
          <w:rStyle w:val="FootnoteReference"/>
        </w:rPr>
        <w:footnoteRef/>
      </w:r>
      <w:r>
        <w:t xml:space="preserve"> </w:t>
      </w:r>
      <w:r>
        <w:rPr>
          <w:sz w:val="16"/>
          <w:szCs w:val="16"/>
        </w:rPr>
        <w:t xml:space="preserve">“Solar Panels that You Can Drive, Ride, or Walk On.” Indiegogo.  </w:t>
      </w:r>
      <w:hyperlink r:id="rId20" w:history="1">
        <w:r w:rsidRPr="00F9557A">
          <w:rPr>
            <w:rStyle w:val="Hyperlink"/>
            <w:sz w:val="16"/>
            <w:szCs w:val="16"/>
          </w:rPr>
          <w:t>https://www.indiegogo.com/projects/solar-roadway</w:t>
        </w:r>
      </w:hyperlink>
    </w:p>
  </w:footnote>
  <w:footnote w:id="20">
    <w:p w14:paraId="34F69E13" w14:textId="0466E2C2" w:rsidR="006510E4" w:rsidRDefault="006510E4">
      <w:pPr>
        <w:pStyle w:val="FootnoteText"/>
        <w:rPr>
          <w:sz w:val="16"/>
          <w:szCs w:val="16"/>
        </w:rPr>
      </w:pPr>
      <w:r>
        <w:rPr>
          <w:rStyle w:val="FootnoteReference"/>
        </w:rPr>
        <w:footnoteRef/>
      </w:r>
      <w:r>
        <w:t xml:space="preserve"> </w:t>
      </w:r>
      <w:r>
        <w:rPr>
          <w:sz w:val="16"/>
          <w:szCs w:val="16"/>
        </w:rPr>
        <w:t xml:space="preserve">“Size Matters: New See Through Solar Windows Go Big.” Cleantechnica, March 27, 2014. </w:t>
      </w:r>
      <w:hyperlink r:id="rId21" w:history="1">
        <w:r w:rsidRPr="00F9557A">
          <w:rPr>
            <w:rStyle w:val="Hyperlink"/>
            <w:sz w:val="16"/>
            <w:szCs w:val="16"/>
          </w:rPr>
          <w:t>http://cleantechnica.com/2014/03/27/see-through-solar-windows-go-big/</w:t>
        </w:r>
      </w:hyperlink>
    </w:p>
    <w:p w14:paraId="7678C0CA" w14:textId="77777777" w:rsidR="006510E4" w:rsidRPr="00AD74A8" w:rsidRDefault="006510E4">
      <w:pPr>
        <w:pStyle w:val="FootnoteText"/>
        <w:rPr>
          <w:sz w:val="16"/>
          <w:szCs w:val="16"/>
        </w:rPr>
      </w:pPr>
    </w:p>
  </w:footnote>
  <w:footnote w:id="21">
    <w:p w14:paraId="1EAD1914" w14:textId="332B11D5" w:rsidR="006510E4" w:rsidRPr="00F91BAE" w:rsidRDefault="006510E4" w:rsidP="00F91BAE">
      <w:pPr>
        <w:widowControl w:val="0"/>
        <w:autoSpaceDE w:val="0"/>
        <w:autoSpaceDN w:val="0"/>
        <w:adjustRightInd w:val="0"/>
        <w:rPr>
          <w:rFonts w:ascii="Calibri" w:hAnsi="Calibri" w:cs="Calibri"/>
          <w:sz w:val="30"/>
          <w:szCs w:val="30"/>
        </w:rPr>
      </w:pPr>
      <w:r>
        <w:rPr>
          <w:rStyle w:val="FootnoteReference"/>
        </w:rPr>
        <w:footnoteRef/>
      </w:r>
      <w:r>
        <w:rPr>
          <w:rFonts w:ascii="Calibri" w:hAnsi="Calibri" w:cs="Calibri"/>
          <w:sz w:val="16"/>
          <w:szCs w:val="16"/>
        </w:rPr>
        <w:t>“</w:t>
      </w:r>
      <w:r w:rsidRPr="00A57B4E">
        <w:rPr>
          <w:rFonts w:cs="Times New Roman"/>
          <w:bCs/>
          <w:sz w:val="16"/>
          <w:szCs w:val="16"/>
        </w:rPr>
        <w:t>Solar Power in the U.S. Doubled in 2014 and Other Good Clean Energy News</w:t>
      </w:r>
      <w:r>
        <w:rPr>
          <w:rFonts w:cs="Times New Roman"/>
          <w:bCs/>
          <w:sz w:val="16"/>
          <w:szCs w:val="16"/>
        </w:rPr>
        <w:t>.” Truthdig, December 6, 2014.</w:t>
      </w:r>
    </w:p>
    <w:p w14:paraId="0B0DB418" w14:textId="71A7D959" w:rsidR="006510E4" w:rsidRDefault="007A7DE1" w:rsidP="00F91BAE">
      <w:pPr>
        <w:pStyle w:val="FootnoteText"/>
      </w:pPr>
      <w:hyperlink r:id="rId22" w:history="1">
        <w:r w:rsidR="006510E4" w:rsidRPr="00A57B4E">
          <w:rPr>
            <w:rFonts w:cs="Times New Roman"/>
            <w:bCs/>
            <w:color w:val="0000FF"/>
            <w:sz w:val="16"/>
            <w:szCs w:val="16"/>
          </w:rPr>
          <w:t>http://www.truthdig.com/report/item/solar_power_in_us_doubled_2014_other_good_clean_energy_news_20141206/</w:t>
        </w:r>
      </w:hyperlink>
    </w:p>
  </w:footnote>
  <w:footnote w:id="22">
    <w:p w14:paraId="206F2BAD" w14:textId="28C09041" w:rsidR="006510E4" w:rsidRDefault="006510E4" w:rsidP="004A5BCB">
      <w:pPr>
        <w:widowControl w:val="0"/>
        <w:autoSpaceDE w:val="0"/>
        <w:autoSpaceDN w:val="0"/>
        <w:adjustRightInd w:val="0"/>
        <w:rPr>
          <w:rFonts w:ascii="Times New Roman" w:hAnsi="Times New Roman" w:cs="Times New Roman"/>
          <w:sz w:val="16"/>
          <w:szCs w:val="16"/>
        </w:rPr>
      </w:pPr>
      <w:r>
        <w:rPr>
          <w:rStyle w:val="FootnoteReference"/>
        </w:rPr>
        <w:footnoteRef/>
      </w:r>
      <w:r>
        <w:t xml:space="preserve"> </w:t>
      </w:r>
      <w:r>
        <w:rPr>
          <w:sz w:val="16"/>
          <w:szCs w:val="16"/>
        </w:rPr>
        <w:t>“</w:t>
      </w:r>
      <w:r w:rsidRPr="00B367C7">
        <w:rPr>
          <w:rFonts w:ascii="Times New Roman" w:hAnsi="Times New Roman" w:cs="Times New Roman"/>
          <w:sz w:val="16"/>
          <w:szCs w:val="16"/>
        </w:rPr>
        <w:t>American Wind Energy Association</w:t>
      </w:r>
      <w:r>
        <w:rPr>
          <w:rFonts w:ascii="Times New Roman" w:hAnsi="Times New Roman" w:cs="Times New Roman"/>
          <w:sz w:val="16"/>
          <w:szCs w:val="16"/>
        </w:rPr>
        <w:t xml:space="preserve">: </w:t>
      </w:r>
      <w:r w:rsidRPr="00B367C7">
        <w:rPr>
          <w:rFonts w:ascii="Times New Roman" w:hAnsi="Times New Roman" w:cs="Times New Roman"/>
          <w:sz w:val="16"/>
          <w:szCs w:val="16"/>
        </w:rPr>
        <w:t>U.S. Wind Industry Third Quarter 2014</w:t>
      </w:r>
      <w:r>
        <w:rPr>
          <w:rFonts w:ascii="Times New Roman" w:hAnsi="Times New Roman" w:cs="Times New Roman"/>
          <w:sz w:val="16"/>
          <w:szCs w:val="16"/>
        </w:rPr>
        <w:t xml:space="preserve"> </w:t>
      </w:r>
      <w:r w:rsidRPr="00B367C7">
        <w:rPr>
          <w:rFonts w:ascii="Times New Roman" w:hAnsi="Times New Roman" w:cs="Times New Roman"/>
          <w:sz w:val="16"/>
          <w:szCs w:val="16"/>
        </w:rPr>
        <w:t>Market Report</w:t>
      </w:r>
      <w:r>
        <w:rPr>
          <w:rFonts w:ascii="Times New Roman" w:hAnsi="Times New Roman" w:cs="Times New Roman"/>
          <w:sz w:val="16"/>
          <w:szCs w:val="16"/>
        </w:rPr>
        <w:t>.” AWEA, October 20, 2014.</w:t>
      </w:r>
    </w:p>
    <w:p w14:paraId="58FF18AB" w14:textId="755D4AAA" w:rsidR="006510E4" w:rsidRPr="004A5BCB" w:rsidRDefault="007A7DE1" w:rsidP="004A5BCB">
      <w:pPr>
        <w:widowControl w:val="0"/>
        <w:autoSpaceDE w:val="0"/>
        <w:autoSpaceDN w:val="0"/>
        <w:adjustRightInd w:val="0"/>
        <w:rPr>
          <w:rFonts w:cs="Times New Roman"/>
          <w:sz w:val="16"/>
          <w:szCs w:val="16"/>
        </w:rPr>
      </w:pPr>
      <w:hyperlink r:id="rId23" w:history="1">
        <w:r w:rsidR="006510E4" w:rsidRPr="00B367C7">
          <w:rPr>
            <w:rStyle w:val="Hyperlink"/>
            <w:rFonts w:cs="Times New Roman"/>
            <w:sz w:val="16"/>
            <w:szCs w:val="16"/>
          </w:rPr>
          <w:t>http://awea.files.cms-plus.com/FileDownloads/pdfs/3Q2014%20AWEA%20Market%20Report%20Public%20Version.pdf</w:t>
        </w:r>
      </w:hyperlink>
    </w:p>
  </w:footnote>
  <w:footnote w:id="23">
    <w:p w14:paraId="3A9B7D14" w14:textId="1BB9A2B8" w:rsidR="006510E4" w:rsidRPr="000A6287" w:rsidRDefault="006510E4">
      <w:pPr>
        <w:pStyle w:val="FootnoteText"/>
        <w:rPr>
          <w:sz w:val="16"/>
          <w:szCs w:val="16"/>
        </w:rPr>
      </w:pPr>
      <w:r>
        <w:rPr>
          <w:rStyle w:val="FootnoteReference"/>
        </w:rPr>
        <w:footnoteRef/>
      </w:r>
      <w:r>
        <w:t xml:space="preserve"> </w:t>
      </w:r>
      <w:r>
        <w:rPr>
          <w:sz w:val="16"/>
          <w:szCs w:val="16"/>
        </w:rPr>
        <w:t xml:space="preserve">Bureau of Ocean Energy Management web site. </w:t>
      </w:r>
      <w:hyperlink r:id="rId24" w:history="1">
        <w:r w:rsidRPr="00EF1A90">
          <w:rPr>
            <w:rStyle w:val="Hyperlink"/>
            <w:sz w:val="16"/>
            <w:szCs w:val="16"/>
          </w:rPr>
          <w:t>http://www.boem.gov/renewable-energy-program/renewable-energy-guide/offshore-wind-energy.aspx</w:t>
        </w:r>
      </w:hyperlink>
    </w:p>
  </w:footnote>
  <w:footnote w:id="24">
    <w:p w14:paraId="09A48452" w14:textId="6A0FA5EC" w:rsidR="006510E4" w:rsidRPr="004A5BCB" w:rsidRDefault="006510E4">
      <w:pPr>
        <w:pStyle w:val="FootnoteText"/>
        <w:rPr>
          <w:sz w:val="16"/>
          <w:szCs w:val="16"/>
        </w:rPr>
      </w:pPr>
      <w:r>
        <w:rPr>
          <w:rStyle w:val="FootnoteReference"/>
        </w:rPr>
        <w:footnoteRef/>
      </w:r>
      <w:r>
        <w:t xml:space="preserve"> </w:t>
      </w:r>
      <w:r>
        <w:rPr>
          <w:sz w:val="16"/>
          <w:szCs w:val="16"/>
        </w:rPr>
        <w:t>Truthdig, December 2014.</w:t>
      </w:r>
    </w:p>
  </w:footnote>
  <w:footnote w:id="25">
    <w:p w14:paraId="764979DB" w14:textId="5AB7DFA9" w:rsidR="006510E4" w:rsidRPr="00BA065D" w:rsidRDefault="006510E4">
      <w:pPr>
        <w:pStyle w:val="FootnoteText"/>
        <w:rPr>
          <w:sz w:val="16"/>
          <w:szCs w:val="16"/>
        </w:rPr>
      </w:pPr>
      <w:r>
        <w:rPr>
          <w:rStyle w:val="FootnoteReference"/>
        </w:rPr>
        <w:footnoteRef/>
      </w:r>
      <w:r>
        <w:t xml:space="preserve"> </w:t>
      </w:r>
      <w:r>
        <w:rPr>
          <w:sz w:val="16"/>
          <w:szCs w:val="16"/>
        </w:rPr>
        <w:t xml:space="preserve">“Global Wind Capacity to Double in 5 Years.” Cleantechnica, April, 15 2014. </w:t>
      </w:r>
      <w:hyperlink r:id="rId25" w:history="1">
        <w:r w:rsidRPr="00D32B61">
          <w:rPr>
            <w:rStyle w:val="Hyperlink"/>
            <w:sz w:val="16"/>
            <w:szCs w:val="16"/>
          </w:rPr>
          <w:t>http://cleantechnica.com/2014/04/15/global-wind-power-capacity-projected-nearly-double-5-years-charts/</w:t>
        </w:r>
      </w:hyperlink>
    </w:p>
  </w:footnote>
  <w:footnote w:id="26">
    <w:p w14:paraId="43F9FAFB" w14:textId="2DEA9223" w:rsidR="006510E4" w:rsidRPr="007275E2" w:rsidRDefault="006510E4">
      <w:pPr>
        <w:pStyle w:val="FootnoteText"/>
        <w:rPr>
          <w:sz w:val="16"/>
          <w:szCs w:val="16"/>
        </w:rPr>
      </w:pPr>
      <w:r>
        <w:rPr>
          <w:rStyle w:val="FootnoteReference"/>
        </w:rPr>
        <w:footnoteRef/>
      </w:r>
      <w:r>
        <w:t xml:space="preserve"> </w:t>
      </w:r>
      <w:r>
        <w:rPr>
          <w:sz w:val="16"/>
          <w:szCs w:val="16"/>
        </w:rPr>
        <w:t xml:space="preserve">“Wind Turbine Rotor Blade Market to be Worth $16,982 Million by 2019.”  PR Newswire, December 11, 2014. </w:t>
      </w:r>
      <w:hyperlink r:id="rId26" w:history="1">
        <w:r w:rsidRPr="00D32B61">
          <w:rPr>
            <w:rStyle w:val="Hyperlink"/>
            <w:sz w:val="16"/>
            <w:szCs w:val="16"/>
          </w:rPr>
          <w:t>http://www.prnewswire.com/news-releases/wind-turbine-rotor-blade-market-worth-16982-million-by-2019-285470111.html</w:t>
        </w:r>
      </w:hyperlink>
    </w:p>
  </w:footnote>
  <w:footnote w:id="27">
    <w:p w14:paraId="1B771F30" w14:textId="29D902EA" w:rsidR="006510E4" w:rsidRPr="00815178" w:rsidRDefault="006510E4">
      <w:pPr>
        <w:pStyle w:val="FootnoteText"/>
        <w:rPr>
          <w:rFonts w:cs="Times"/>
          <w:bCs/>
          <w:spacing w:val="20"/>
          <w:kern w:val="1"/>
          <w:sz w:val="16"/>
          <w:szCs w:val="16"/>
        </w:rPr>
      </w:pPr>
      <w:r>
        <w:rPr>
          <w:rStyle w:val="FootnoteReference"/>
        </w:rPr>
        <w:footnoteRef/>
      </w:r>
      <w:r>
        <w:t xml:space="preserve"> </w:t>
      </w:r>
      <w:r w:rsidRPr="00815178">
        <w:rPr>
          <w:sz w:val="16"/>
          <w:szCs w:val="16"/>
        </w:rPr>
        <w:t>“</w:t>
      </w:r>
      <w:r w:rsidRPr="00815178">
        <w:rPr>
          <w:rFonts w:cs="Times"/>
          <w:bCs/>
          <w:spacing w:val="20"/>
          <w:kern w:val="1"/>
          <w:sz w:val="16"/>
          <w:szCs w:val="16"/>
        </w:rPr>
        <w:t>Advancements in Wind Turbine Technology: Improving Efficiency and Reducing Cost.” Power Engineering, March 14, 2014.</w:t>
      </w:r>
      <w:r>
        <w:rPr>
          <w:rFonts w:cs="Times"/>
          <w:bCs/>
          <w:spacing w:val="20"/>
          <w:kern w:val="1"/>
          <w:sz w:val="16"/>
          <w:szCs w:val="16"/>
        </w:rPr>
        <w:t xml:space="preserve"> </w:t>
      </w:r>
      <w:hyperlink r:id="rId27" w:history="1">
        <w:r w:rsidRPr="00D32B61">
          <w:rPr>
            <w:rStyle w:val="Hyperlink"/>
            <w:rFonts w:cs="Times"/>
            <w:bCs/>
            <w:spacing w:val="20"/>
            <w:kern w:val="1"/>
            <w:sz w:val="16"/>
            <w:szCs w:val="16"/>
          </w:rPr>
          <w:t>http://www.power-eng.com/articles/print/volume-118/issue-3/features/advancements-in-wind-turbine-technology-improving-efficiency-and-reducing-cost.html</w:t>
        </w:r>
      </w:hyperlink>
    </w:p>
  </w:footnote>
  <w:footnote w:id="28">
    <w:p w14:paraId="689CBC50" w14:textId="212B1C86" w:rsidR="006510E4" w:rsidRPr="00815178" w:rsidRDefault="006510E4">
      <w:pPr>
        <w:pStyle w:val="FootnoteText"/>
        <w:rPr>
          <w:sz w:val="16"/>
          <w:szCs w:val="16"/>
        </w:rPr>
      </w:pPr>
      <w:r>
        <w:rPr>
          <w:rStyle w:val="FootnoteReference"/>
        </w:rPr>
        <w:footnoteRef/>
      </w:r>
      <w:r>
        <w:t xml:space="preserve"> </w:t>
      </w:r>
      <w:r>
        <w:rPr>
          <w:sz w:val="16"/>
          <w:szCs w:val="16"/>
        </w:rPr>
        <w:t xml:space="preserve">“What’s New in Wind Turbine Technology.” Renewable Energy World, July 10, 2014.  </w:t>
      </w:r>
      <w:hyperlink r:id="rId28" w:history="1">
        <w:r w:rsidRPr="00D32B61">
          <w:rPr>
            <w:rStyle w:val="Hyperlink"/>
            <w:sz w:val="16"/>
            <w:szCs w:val="16"/>
          </w:rPr>
          <w:t>http://www.renewableenergyworld.com/rea/news/article/2014/07/whats-new-in-wind-technology</w:t>
        </w:r>
      </w:hyperlink>
    </w:p>
  </w:footnote>
  <w:footnote w:id="29">
    <w:p w14:paraId="417C9F78" w14:textId="0FFEBBA6" w:rsidR="006510E4" w:rsidRPr="00FB2381" w:rsidRDefault="006510E4">
      <w:pPr>
        <w:pStyle w:val="FootnoteText"/>
        <w:rPr>
          <w:sz w:val="16"/>
          <w:szCs w:val="16"/>
        </w:rPr>
      </w:pPr>
      <w:r>
        <w:rPr>
          <w:rStyle w:val="FootnoteReference"/>
        </w:rPr>
        <w:footnoteRef/>
      </w:r>
      <w:r>
        <w:t xml:space="preserve"> </w:t>
      </w:r>
      <w:r>
        <w:rPr>
          <w:sz w:val="16"/>
          <w:szCs w:val="16"/>
        </w:rPr>
        <w:t xml:space="preserve">“MHI Vestas Says Wind Turbine Sets Generation Record”.  Bloomberg, October 17, 2014.  </w:t>
      </w:r>
      <w:hyperlink r:id="rId29" w:history="1">
        <w:r w:rsidRPr="00D32B61">
          <w:rPr>
            <w:rStyle w:val="Hyperlink"/>
            <w:sz w:val="16"/>
            <w:szCs w:val="16"/>
          </w:rPr>
          <w:t>http://www.bloomberg.com/news/2014-10-17/mhi-vestas-says-wind-turbine-sets-generation-record.html</w:t>
        </w:r>
      </w:hyperlink>
    </w:p>
  </w:footnote>
  <w:footnote w:id="30">
    <w:p w14:paraId="3036CE6E" w14:textId="4ECE4E2C" w:rsidR="006510E4" w:rsidRPr="00FB2381" w:rsidRDefault="006510E4">
      <w:pPr>
        <w:pStyle w:val="FootnoteText"/>
        <w:rPr>
          <w:sz w:val="16"/>
          <w:szCs w:val="16"/>
        </w:rPr>
      </w:pPr>
      <w:r>
        <w:rPr>
          <w:rStyle w:val="FootnoteReference"/>
        </w:rPr>
        <w:footnoteRef/>
      </w:r>
      <w:r>
        <w:t xml:space="preserve"> </w:t>
      </w:r>
      <w:r>
        <w:rPr>
          <w:sz w:val="16"/>
          <w:szCs w:val="16"/>
        </w:rPr>
        <w:t xml:space="preserve">Boco Rock Wind Farm web site </w:t>
      </w:r>
      <w:hyperlink r:id="rId30" w:history="1">
        <w:r w:rsidRPr="00D32B61">
          <w:rPr>
            <w:rStyle w:val="Hyperlink"/>
            <w:sz w:val="16"/>
            <w:szCs w:val="16"/>
          </w:rPr>
          <w:t>http://bocorockwindfarm.com.au/milestones</w:t>
        </w:r>
      </w:hyperlink>
    </w:p>
  </w:footnote>
  <w:footnote w:id="31">
    <w:p w14:paraId="12559012" w14:textId="2F2E5544" w:rsidR="006510E4" w:rsidRDefault="006510E4">
      <w:pPr>
        <w:pStyle w:val="FootnoteText"/>
        <w:rPr>
          <w:sz w:val="16"/>
          <w:szCs w:val="16"/>
        </w:rPr>
      </w:pPr>
      <w:r>
        <w:rPr>
          <w:rStyle w:val="FootnoteReference"/>
        </w:rPr>
        <w:footnoteRef/>
      </w:r>
      <w:r>
        <w:t xml:space="preserve"> </w:t>
      </w:r>
      <w:r>
        <w:rPr>
          <w:sz w:val="16"/>
          <w:szCs w:val="16"/>
        </w:rPr>
        <w:t xml:space="preserve">“Torque Wind Turbine is the World’s Most Advanced Small Wind Turbine.”  Eco-Business.com, December 11, 2014 </w:t>
      </w:r>
      <w:hyperlink r:id="rId31" w:history="1">
        <w:r w:rsidRPr="00D32B61">
          <w:rPr>
            <w:rStyle w:val="Hyperlink"/>
            <w:sz w:val="16"/>
            <w:szCs w:val="16"/>
          </w:rPr>
          <w:t>http://www.eco-business.com/press-releases/torque-wind-turbine-is-the-worlds-most-advanced-small-wind-turbine/</w:t>
        </w:r>
      </w:hyperlink>
    </w:p>
    <w:p w14:paraId="5711D521" w14:textId="77777777" w:rsidR="006510E4" w:rsidRDefault="006510E4">
      <w:pPr>
        <w:pStyle w:val="FootnoteText"/>
        <w:rPr>
          <w:sz w:val="16"/>
          <w:szCs w:val="16"/>
        </w:rPr>
      </w:pPr>
    </w:p>
    <w:p w14:paraId="11F3B278" w14:textId="77777777" w:rsidR="006510E4" w:rsidRDefault="006510E4">
      <w:pPr>
        <w:pStyle w:val="FootnoteText"/>
        <w:rPr>
          <w:sz w:val="16"/>
          <w:szCs w:val="16"/>
        </w:rPr>
      </w:pPr>
    </w:p>
    <w:p w14:paraId="24209B54" w14:textId="77777777" w:rsidR="006510E4" w:rsidRPr="00FB2381" w:rsidRDefault="006510E4">
      <w:pPr>
        <w:pStyle w:val="FootnoteText"/>
        <w:rPr>
          <w:sz w:val="16"/>
          <w:szCs w:val="16"/>
        </w:rPr>
      </w:pPr>
    </w:p>
  </w:footnote>
  <w:footnote w:id="32">
    <w:p w14:paraId="3E4A7245" w14:textId="0C5E1DD2" w:rsidR="006510E4" w:rsidRPr="00C272E7" w:rsidRDefault="006510E4">
      <w:pPr>
        <w:pStyle w:val="FootnoteText"/>
        <w:rPr>
          <w:sz w:val="16"/>
          <w:szCs w:val="16"/>
        </w:rPr>
      </w:pPr>
      <w:r>
        <w:rPr>
          <w:rStyle w:val="FootnoteReference"/>
        </w:rPr>
        <w:footnoteRef/>
      </w:r>
      <w:r>
        <w:t xml:space="preserve"> </w:t>
      </w:r>
      <w:r>
        <w:rPr>
          <w:sz w:val="16"/>
          <w:szCs w:val="16"/>
        </w:rPr>
        <w:t xml:space="preserve">Pumped storage is mature and in use, therefore the paper will address pumped storage only in passing. </w:t>
      </w:r>
    </w:p>
  </w:footnote>
  <w:footnote w:id="33">
    <w:p w14:paraId="3812BA67" w14:textId="45C2782F" w:rsidR="006510E4" w:rsidRPr="00FE4B54" w:rsidRDefault="006510E4">
      <w:pPr>
        <w:pStyle w:val="FootnoteText"/>
        <w:rPr>
          <w:sz w:val="16"/>
          <w:szCs w:val="16"/>
        </w:rPr>
      </w:pPr>
      <w:r>
        <w:rPr>
          <w:rStyle w:val="FootnoteReference"/>
        </w:rPr>
        <w:footnoteRef/>
      </w:r>
      <w:r>
        <w:t xml:space="preserve"> </w:t>
      </w:r>
      <w:r>
        <w:rPr>
          <w:sz w:val="16"/>
          <w:szCs w:val="16"/>
        </w:rPr>
        <w:t>Demand response is a way to reduce electric demand when needed to balance demand and supply.  As an Example, commercial buildings with building controls can modulate lighting, air conditioning, ventalization and when combined with other large office buildings can reduce electric usage during peak demand.  Companies that generate their own power can bid it into the market.  This market is now at 29 gigawatts and represents 6% of national peak demand at the moment.  A success law suit by utilities against a FERC rule that implemented this program has been appealed by the Obama Administration. Utilities are fighting against the market, a more efficient grid, customer choice, renewables, across the board.</w:t>
      </w:r>
    </w:p>
  </w:footnote>
  <w:footnote w:id="34">
    <w:p w14:paraId="071A88E3" w14:textId="111BC725" w:rsidR="006510E4" w:rsidRPr="006510E4" w:rsidRDefault="006510E4">
      <w:pPr>
        <w:pStyle w:val="FootnoteText"/>
        <w:rPr>
          <w:sz w:val="16"/>
          <w:szCs w:val="16"/>
        </w:rPr>
      </w:pPr>
      <w:r>
        <w:rPr>
          <w:rStyle w:val="FootnoteReference"/>
        </w:rPr>
        <w:footnoteRef/>
      </w:r>
      <w:r>
        <w:t xml:space="preserve"> </w:t>
      </w:r>
      <w:r>
        <w:rPr>
          <w:sz w:val="16"/>
          <w:szCs w:val="16"/>
        </w:rPr>
        <w:t xml:space="preserve">See “PJM Renewable Integration Study.” PJM, March 31, 2014. </w:t>
      </w:r>
      <w:hyperlink r:id="rId32" w:history="1">
        <w:r w:rsidRPr="008C19CB">
          <w:rPr>
            <w:rStyle w:val="Hyperlink"/>
            <w:sz w:val="16"/>
            <w:szCs w:val="16"/>
          </w:rPr>
          <w:t>http://variablegen.org/wp-content/uploads/2014/07/pris-executive-summary.pdf</w:t>
        </w:r>
      </w:hyperlink>
      <w:r>
        <w:rPr>
          <w:sz w:val="16"/>
          <w:szCs w:val="16"/>
        </w:rPr>
        <w:t xml:space="preserve"> and </w:t>
      </w:r>
    </w:p>
  </w:footnote>
  <w:footnote w:id="35">
    <w:p w14:paraId="3B566A60" w14:textId="790D1DBD" w:rsidR="006510E4" w:rsidRPr="00B81943" w:rsidRDefault="006510E4">
      <w:pPr>
        <w:pStyle w:val="FootnoteText"/>
        <w:rPr>
          <w:sz w:val="16"/>
          <w:szCs w:val="16"/>
        </w:rPr>
      </w:pPr>
      <w:r>
        <w:rPr>
          <w:rStyle w:val="FootnoteReference"/>
        </w:rPr>
        <w:footnoteRef/>
      </w:r>
      <w:r>
        <w:t xml:space="preserve"> </w:t>
      </w:r>
      <w:r>
        <w:rPr>
          <w:sz w:val="16"/>
          <w:szCs w:val="16"/>
        </w:rPr>
        <w:t xml:space="preserve">DOE Energy Storage Database </w:t>
      </w:r>
      <w:hyperlink r:id="rId33" w:history="1">
        <w:r w:rsidRPr="00D64955">
          <w:rPr>
            <w:rStyle w:val="Hyperlink"/>
            <w:sz w:val="16"/>
            <w:szCs w:val="16"/>
          </w:rPr>
          <w:t>http://www.energystorageexchange.org/projects</w:t>
        </w:r>
      </w:hyperlink>
    </w:p>
  </w:footnote>
  <w:footnote w:id="36">
    <w:p w14:paraId="5510D93E" w14:textId="026B159D" w:rsidR="006510E4" w:rsidRPr="00314E5C" w:rsidRDefault="006510E4">
      <w:pPr>
        <w:pStyle w:val="FootnoteText"/>
        <w:rPr>
          <w:sz w:val="16"/>
          <w:szCs w:val="16"/>
        </w:rPr>
      </w:pPr>
      <w:r>
        <w:rPr>
          <w:rStyle w:val="FootnoteReference"/>
        </w:rPr>
        <w:footnoteRef/>
      </w:r>
      <w:r>
        <w:t xml:space="preserve"> </w:t>
      </w:r>
      <w:r>
        <w:rPr>
          <w:sz w:val="16"/>
          <w:szCs w:val="16"/>
        </w:rPr>
        <w:t xml:space="preserve">“Innovations in Storage Boost Renewable Energy.” October 31, 2014. </w:t>
      </w:r>
      <w:hyperlink r:id="rId34" w:history="1">
        <w:r w:rsidRPr="00D64955">
          <w:rPr>
            <w:rStyle w:val="Hyperlink"/>
            <w:sz w:val="16"/>
            <w:szCs w:val="16"/>
          </w:rPr>
          <w:t>http://www.csmonitor.com/World/Making-a-difference/Change-Agent/2014/1031/Innovations-in-storage-boost-renewable-energy</w:t>
        </w:r>
      </w:hyperlink>
    </w:p>
  </w:footnote>
  <w:footnote w:id="37">
    <w:p w14:paraId="68951D09" w14:textId="11B95D52" w:rsidR="006510E4" w:rsidRPr="009A7D50" w:rsidRDefault="006510E4">
      <w:pPr>
        <w:pStyle w:val="FootnoteText"/>
        <w:rPr>
          <w:sz w:val="16"/>
          <w:szCs w:val="16"/>
        </w:rPr>
      </w:pPr>
      <w:r>
        <w:rPr>
          <w:rStyle w:val="FootnoteReference"/>
        </w:rPr>
        <w:footnoteRef/>
      </w:r>
      <w:r>
        <w:t xml:space="preserve"> </w:t>
      </w:r>
      <w:r>
        <w:rPr>
          <w:sz w:val="16"/>
          <w:szCs w:val="16"/>
        </w:rPr>
        <w:t xml:space="preserve">“Energy Storage for the Grid and Ancillary Services.” Navigant, 3Q 2014. </w:t>
      </w:r>
      <w:hyperlink r:id="rId35" w:history="1">
        <w:r w:rsidRPr="00D64955">
          <w:rPr>
            <w:rStyle w:val="Hyperlink"/>
            <w:sz w:val="16"/>
            <w:szCs w:val="16"/>
          </w:rPr>
          <w:t>http://www.navigantresearch.com/research/energy-storage-for-the-grid-and-ancillary-services</w:t>
        </w:r>
      </w:hyperlink>
    </w:p>
  </w:footnote>
  <w:footnote w:id="38">
    <w:p w14:paraId="1785526D" w14:textId="70B7D23F" w:rsidR="006510E4" w:rsidRPr="00126997" w:rsidRDefault="006510E4">
      <w:pPr>
        <w:pStyle w:val="FootnoteText"/>
        <w:rPr>
          <w:sz w:val="16"/>
          <w:szCs w:val="16"/>
        </w:rPr>
      </w:pPr>
      <w:r>
        <w:rPr>
          <w:rStyle w:val="FootnoteReference"/>
        </w:rPr>
        <w:footnoteRef/>
      </w:r>
      <w:r>
        <w:t xml:space="preserve"> </w:t>
      </w:r>
      <w:r w:rsidRPr="00126997">
        <w:rPr>
          <w:sz w:val="16"/>
          <w:szCs w:val="16"/>
        </w:rPr>
        <w:t>“</w:t>
      </w:r>
      <w:r>
        <w:rPr>
          <w:sz w:val="16"/>
          <w:szCs w:val="16"/>
        </w:rPr>
        <w:t xml:space="preserve">Is Battery Storage the Next Solar?” Utility Dive, October 10, 2014. </w:t>
      </w:r>
      <w:hyperlink r:id="rId36" w:history="1">
        <w:r w:rsidRPr="00D64955">
          <w:rPr>
            <w:rStyle w:val="Hyperlink"/>
            <w:sz w:val="16"/>
            <w:szCs w:val="16"/>
          </w:rPr>
          <w:t>http://www.utilitydive.com/news/is-battery-storage-the-next-solar/316875/</w:t>
        </w:r>
      </w:hyperlink>
    </w:p>
  </w:footnote>
  <w:footnote w:id="39">
    <w:p w14:paraId="1CB371FD" w14:textId="4F926483" w:rsidR="006510E4" w:rsidRDefault="006510E4">
      <w:pPr>
        <w:pStyle w:val="FootnoteText"/>
        <w:rPr>
          <w:sz w:val="16"/>
          <w:szCs w:val="16"/>
        </w:rPr>
      </w:pPr>
      <w:r>
        <w:rPr>
          <w:rStyle w:val="FootnoteReference"/>
        </w:rPr>
        <w:footnoteRef/>
      </w:r>
      <w:r w:rsidRPr="008D7061">
        <w:rPr>
          <w:sz w:val="16"/>
          <w:szCs w:val="16"/>
        </w:rPr>
        <w:t xml:space="preserve"> “</w:t>
      </w:r>
      <w:r>
        <w:rPr>
          <w:sz w:val="16"/>
          <w:szCs w:val="16"/>
        </w:rPr>
        <w:t xml:space="preserve">Commercial, Residential and Community Energy Storage.” Navigant, 4Q 2014. </w:t>
      </w:r>
      <w:hyperlink r:id="rId37" w:history="1">
        <w:r w:rsidRPr="00EF1A90">
          <w:rPr>
            <w:rStyle w:val="Hyperlink"/>
            <w:sz w:val="16"/>
            <w:szCs w:val="16"/>
          </w:rPr>
          <w:t>http://www.navigantresearch.com/research/community-residential-and-commercial-energy-storage</w:t>
        </w:r>
      </w:hyperlink>
    </w:p>
    <w:p w14:paraId="75A0047D" w14:textId="77777777" w:rsidR="006510E4" w:rsidRPr="008D7061" w:rsidRDefault="006510E4">
      <w:pPr>
        <w:pStyle w:val="FootnoteText"/>
        <w:rPr>
          <w:sz w:val="16"/>
          <w:szCs w:val="16"/>
        </w:rPr>
      </w:pPr>
    </w:p>
  </w:footnote>
  <w:footnote w:id="40">
    <w:p w14:paraId="21F94482" w14:textId="764BBB7E" w:rsidR="006510E4" w:rsidRPr="00233BD2" w:rsidRDefault="006510E4">
      <w:pPr>
        <w:pStyle w:val="FootnoteText"/>
        <w:rPr>
          <w:sz w:val="16"/>
          <w:szCs w:val="16"/>
        </w:rPr>
      </w:pPr>
      <w:r>
        <w:rPr>
          <w:rStyle w:val="FootnoteReference"/>
        </w:rPr>
        <w:footnoteRef/>
      </w:r>
      <w:r>
        <w:t xml:space="preserve"> “</w:t>
      </w:r>
      <w:r>
        <w:rPr>
          <w:sz w:val="16"/>
          <w:szCs w:val="16"/>
        </w:rPr>
        <w:t xml:space="preserve">Utility-Scale Battery Storage Costs Dropping.” CleanTechnica, December 18, 2014. </w:t>
      </w:r>
      <w:hyperlink r:id="rId38" w:history="1">
        <w:r w:rsidRPr="00D64955">
          <w:rPr>
            <w:rStyle w:val="Hyperlink"/>
            <w:sz w:val="16"/>
            <w:szCs w:val="16"/>
          </w:rPr>
          <w:t>http://cleantechnica.com/2013/12/18/utility-scale-battery-storage-costs-dropping/</w:t>
        </w:r>
      </w:hyperlink>
    </w:p>
  </w:footnote>
  <w:footnote w:id="41">
    <w:p w14:paraId="2C597A1F" w14:textId="29C59C4B" w:rsidR="006510E4" w:rsidRPr="005C12E1" w:rsidRDefault="006510E4">
      <w:pPr>
        <w:pStyle w:val="FootnoteText"/>
        <w:rPr>
          <w:sz w:val="16"/>
          <w:szCs w:val="16"/>
        </w:rPr>
      </w:pPr>
      <w:r>
        <w:rPr>
          <w:rStyle w:val="FootnoteReference"/>
        </w:rPr>
        <w:footnoteRef/>
      </w:r>
      <w:r>
        <w:t xml:space="preserve"> </w:t>
      </w:r>
      <w:r>
        <w:rPr>
          <w:sz w:val="16"/>
          <w:szCs w:val="16"/>
        </w:rPr>
        <w:t xml:space="preserve">“Utility Dive, December 2014. </w:t>
      </w:r>
    </w:p>
  </w:footnote>
  <w:footnote w:id="42">
    <w:p w14:paraId="3E548B5A" w14:textId="04E595E0" w:rsidR="006510E4" w:rsidRPr="001346EF" w:rsidRDefault="006510E4">
      <w:pPr>
        <w:pStyle w:val="FootnoteText"/>
        <w:rPr>
          <w:sz w:val="16"/>
          <w:szCs w:val="16"/>
        </w:rPr>
      </w:pPr>
      <w:r>
        <w:rPr>
          <w:rStyle w:val="FootnoteReference"/>
        </w:rPr>
        <w:footnoteRef/>
      </w:r>
      <w:r>
        <w:t xml:space="preserve"> </w:t>
      </w:r>
      <w:r w:rsidRPr="001346EF">
        <w:rPr>
          <w:sz w:val="16"/>
          <w:szCs w:val="16"/>
        </w:rPr>
        <w:t>“</w:t>
      </w:r>
      <w:r>
        <w:rPr>
          <w:sz w:val="16"/>
          <w:szCs w:val="16"/>
        </w:rPr>
        <w:t xml:space="preserve">Where Energy Storage Will Expand and Why.”  Utility Dive, January 7, 2015. </w:t>
      </w:r>
      <w:hyperlink r:id="rId39" w:history="1">
        <w:r w:rsidRPr="00D64955">
          <w:rPr>
            <w:rStyle w:val="Hyperlink"/>
            <w:sz w:val="16"/>
            <w:szCs w:val="16"/>
          </w:rPr>
          <w:t>http://www.utilitydive.com/news/where-the-energy-storage-expansion-will-happen-first-and-why/346265/</w:t>
        </w:r>
      </w:hyperlink>
    </w:p>
  </w:footnote>
  <w:footnote w:id="43">
    <w:p w14:paraId="3DF4460A" w14:textId="18569D5F" w:rsidR="006510E4" w:rsidRPr="00B0232B" w:rsidRDefault="006510E4">
      <w:pPr>
        <w:pStyle w:val="FootnoteText"/>
        <w:rPr>
          <w:sz w:val="16"/>
          <w:szCs w:val="16"/>
        </w:rPr>
      </w:pPr>
      <w:r>
        <w:rPr>
          <w:rStyle w:val="FootnoteReference"/>
        </w:rPr>
        <w:footnoteRef/>
      </w:r>
      <w:r>
        <w:t xml:space="preserve"> </w:t>
      </w:r>
      <w:r>
        <w:rPr>
          <w:sz w:val="16"/>
          <w:szCs w:val="16"/>
        </w:rPr>
        <w:t xml:space="preserve">“The Top 10 Energy Storage Stories of 2014.” GreenTechMedia, December 23, 2014. </w:t>
      </w:r>
      <w:hyperlink r:id="rId40" w:history="1">
        <w:r w:rsidRPr="00D64955">
          <w:rPr>
            <w:rStyle w:val="Hyperlink"/>
            <w:sz w:val="16"/>
            <w:szCs w:val="16"/>
          </w:rPr>
          <w:t>http://www.greentechmedia.com/articles/read/the-top-10-energy-storage-stories-of-2014</w:t>
        </w:r>
      </w:hyperlink>
    </w:p>
  </w:footnote>
  <w:footnote w:id="44">
    <w:p w14:paraId="5FC7B506" w14:textId="4DE01071" w:rsidR="006510E4" w:rsidRPr="00322AB9" w:rsidRDefault="006510E4">
      <w:pPr>
        <w:pStyle w:val="FootnoteText"/>
        <w:rPr>
          <w:sz w:val="16"/>
          <w:szCs w:val="16"/>
        </w:rPr>
      </w:pPr>
      <w:r>
        <w:rPr>
          <w:rStyle w:val="FootnoteReference"/>
        </w:rPr>
        <w:footnoteRef/>
      </w:r>
      <w:r>
        <w:t xml:space="preserve"> </w:t>
      </w:r>
      <w:r>
        <w:rPr>
          <w:sz w:val="16"/>
          <w:szCs w:val="16"/>
        </w:rPr>
        <w:t xml:space="preserve">GreenTechMedia, December 2014. </w:t>
      </w:r>
    </w:p>
  </w:footnote>
  <w:footnote w:id="45">
    <w:p w14:paraId="5B2079DD" w14:textId="061BAEEF" w:rsidR="006510E4" w:rsidRPr="008F6292" w:rsidRDefault="006510E4">
      <w:pPr>
        <w:pStyle w:val="FootnoteText"/>
        <w:rPr>
          <w:sz w:val="16"/>
          <w:szCs w:val="16"/>
        </w:rPr>
      </w:pPr>
      <w:r>
        <w:rPr>
          <w:rStyle w:val="FootnoteReference"/>
        </w:rPr>
        <w:footnoteRef/>
      </w:r>
      <w:r>
        <w:t xml:space="preserve"> </w:t>
      </w:r>
      <w:r>
        <w:rPr>
          <w:sz w:val="16"/>
          <w:szCs w:val="16"/>
        </w:rPr>
        <w:t xml:space="preserve">“Salt Water Powered Car Gets European Approval – Yes, It’s Real.” Themindunleashed.org, September, 6, 2014. </w:t>
      </w:r>
      <w:hyperlink r:id="rId41" w:history="1">
        <w:r w:rsidRPr="00EF1A90">
          <w:rPr>
            <w:rStyle w:val="Hyperlink"/>
            <w:sz w:val="16"/>
            <w:szCs w:val="16"/>
          </w:rPr>
          <w:t>http://themindunleashed.org/2014/09/move-tesla-new-car-powered-salt-water-900-horsepower.html</w:t>
        </w:r>
      </w:hyperlink>
    </w:p>
  </w:footnote>
  <w:footnote w:id="46">
    <w:p w14:paraId="08A2A17F" w14:textId="6F12B906" w:rsidR="006510E4" w:rsidRPr="008F6292" w:rsidRDefault="006510E4">
      <w:pPr>
        <w:pStyle w:val="FootnoteText"/>
        <w:rPr>
          <w:sz w:val="16"/>
          <w:szCs w:val="16"/>
        </w:rPr>
      </w:pPr>
      <w:r>
        <w:rPr>
          <w:rStyle w:val="FootnoteReference"/>
        </w:rPr>
        <w:footnoteRef/>
      </w:r>
      <w:r>
        <w:t xml:space="preserve"> </w:t>
      </w:r>
      <w:r>
        <w:rPr>
          <w:sz w:val="16"/>
          <w:szCs w:val="16"/>
        </w:rPr>
        <w:t xml:space="preserve">Themindunleashed.org, September 2014. </w:t>
      </w:r>
    </w:p>
  </w:footnote>
  <w:footnote w:id="47">
    <w:p w14:paraId="5C4522D9" w14:textId="6356B632" w:rsidR="006510E4" w:rsidRPr="0047038D" w:rsidRDefault="006510E4">
      <w:pPr>
        <w:pStyle w:val="FootnoteText"/>
        <w:rPr>
          <w:sz w:val="16"/>
          <w:szCs w:val="16"/>
        </w:rPr>
      </w:pPr>
      <w:r>
        <w:rPr>
          <w:rStyle w:val="FootnoteReference"/>
        </w:rPr>
        <w:footnoteRef/>
      </w:r>
      <w:r>
        <w:t xml:space="preserve"> </w:t>
      </w:r>
      <w:r>
        <w:rPr>
          <w:sz w:val="16"/>
          <w:szCs w:val="16"/>
        </w:rPr>
        <w:t xml:space="preserve">Sodium-Ion Battery.  Wikipedia. </w:t>
      </w:r>
      <w:hyperlink r:id="rId42" w:history="1">
        <w:r w:rsidRPr="00EF1A90">
          <w:rPr>
            <w:rStyle w:val="Hyperlink"/>
            <w:sz w:val="16"/>
            <w:szCs w:val="16"/>
          </w:rPr>
          <w:t>http://en.wikipedia.org/wiki/Sodium-ion_battery</w:t>
        </w:r>
      </w:hyperlink>
    </w:p>
  </w:footnote>
  <w:footnote w:id="48">
    <w:p w14:paraId="70FE497C" w14:textId="222FCAD0" w:rsidR="006510E4" w:rsidRPr="0047038D" w:rsidRDefault="006510E4">
      <w:pPr>
        <w:pStyle w:val="FootnoteText"/>
        <w:rPr>
          <w:sz w:val="16"/>
          <w:szCs w:val="16"/>
        </w:rPr>
      </w:pPr>
      <w:r>
        <w:rPr>
          <w:rStyle w:val="FootnoteReference"/>
        </w:rPr>
        <w:footnoteRef/>
      </w:r>
      <w:r>
        <w:t xml:space="preserve"> “</w:t>
      </w:r>
      <w:r>
        <w:rPr>
          <w:sz w:val="16"/>
          <w:szCs w:val="16"/>
        </w:rPr>
        <w:t xml:space="preserve">Liquid-Metal Batteries Get Boost From Molten Lead.” Nature, September 21, 2014. </w:t>
      </w:r>
      <w:hyperlink r:id="rId43" w:history="1">
        <w:r w:rsidRPr="00EF1A90">
          <w:rPr>
            <w:rStyle w:val="Hyperlink"/>
            <w:sz w:val="16"/>
            <w:szCs w:val="16"/>
          </w:rPr>
          <w:t>http://www.nature.com/news/liquid-metal-batteries-get-boost-from-molten-lead-1.15967</w:t>
        </w:r>
      </w:hyperlink>
    </w:p>
  </w:footnote>
  <w:footnote w:id="49">
    <w:p w14:paraId="3C93F2B7" w14:textId="7CBFC6BE" w:rsidR="006510E4" w:rsidRPr="00CA612F" w:rsidRDefault="006510E4" w:rsidP="00CA612F">
      <w:pPr>
        <w:rPr>
          <w:rFonts w:ascii="Palatino Linotype" w:hAnsi="Palatino Linotype" w:cs="Palatino Linotype"/>
          <w:color w:val="0000FF" w:themeColor="hyperlink"/>
          <w:sz w:val="16"/>
          <w:szCs w:val="16"/>
          <w:u w:val="single"/>
        </w:rPr>
      </w:pPr>
      <w:r>
        <w:rPr>
          <w:rStyle w:val="FootnoteReference"/>
        </w:rPr>
        <w:footnoteRef/>
      </w:r>
      <w:r>
        <w:t xml:space="preserve"> </w:t>
      </w:r>
      <w:r>
        <w:rPr>
          <w:sz w:val="16"/>
          <w:szCs w:val="16"/>
        </w:rPr>
        <w:t xml:space="preserve">“EOS: Battery Storage Will be Cost-Competitive in 18 Months.” Utility Dive, December 19, 2013.  </w:t>
      </w:r>
      <w:hyperlink r:id="rId44" w:history="1">
        <w:r w:rsidRPr="00CA612F">
          <w:rPr>
            <w:rStyle w:val="Hyperlink"/>
            <w:rFonts w:ascii="Palatino Linotype" w:hAnsi="Palatino Linotype" w:cs="Palatino Linotype"/>
            <w:sz w:val="16"/>
            <w:szCs w:val="16"/>
          </w:rPr>
          <w:t>http://www.utilitydive.com/news/eos-battery-storage-will-be-cost-competitive-in-18-months/207750/</w:t>
        </w:r>
      </w:hyperlink>
    </w:p>
  </w:footnote>
  <w:footnote w:id="50">
    <w:p w14:paraId="4802B178" w14:textId="39C6C03E" w:rsidR="006510E4" w:rsidRPr="00CA612F" w:rsidRDefault="006510E4">
      <w:pPr>
        <w:pStyle w:val="FootnoteText"/>
        <w:rPr>
          <w:sz w:val="16"/>
          <w:szCs w:val="16"/>
        </w:rPr>
      </w:pPr>
      <w:r>
        <w:rPr>
          <w:rStyle w:val="FootnoteReference"/>
        </w:rPr>
        <w:footnoteRef/>
      </w:r>
      <w:r>
        <w:t xml:space="preserve"> </w:t>
      </w:r>
      <w:r>
        <w:rPr>
          <w:sz w:val="16"/>
          <w:szCs w:val="16"/>
        </w:rPr>
        <w:t xml:space="preserve">EOS. </w:t>
      </w:r>
      <w:hyperlink r:id="rId45" w:history="1">
        <w:r w:rsidRPr="00EF1A90">
          <w:rPr>
            <w:rStyle w:val="Hyperlink"/>
            <w:sz w:val="16"/>
            <w:szCs w:val="16"/>
          </w:rPr>
          <w:t>http://www.eosenergystorage.com/technology-and-products/</w:t>
        </w:r>
      </w:hyperlink>
    </w:p>
  </w:footnote>
  <w:footnote w:id="51">
    <w:p w14:paraId="2BCA5C4D" w14:textId="22E2293F" w:rsidR="006510E4" w:rsidRDefault="006510E4">
      <w:pPr>
        <w:pStyle w:val="FootnoteText"/>
        <w:rPr>
          <w:sz w:val="16"/>
          <w:szCs w:val="16"/>
        </w:rPr>
      </w:pPr>
      <w:r>
        <w:rPr>
          <w:rStyle w:val="FootnoteReference"/>
        </w:rPr>
        <w:footnoteRef/>
      </w:r>
      <w:r>
        <w:t xml:space="preserve"> </w:t>
      </w:r>
      <w:r w:rsidRPr="00E46297">
        <w:rPr>
          <w:sz w:val="16"/>
          <w:szCs w:val="16"/>
        </w:rPr>
        <w:t>See</w:t>
      </w:r>
      <w:r>
        <w:t xml:space="preserve"> </w:t>
      </w:r>
      <w:r>
        <w:rPr>
          <w:sz w:val="16"/>
          <w:szCs w:val="16"/>
        </w:rPr>
        <w:t xml:space="preserve">“SustainX Delivers Compressed Air Storage System.” Nanalyze, July 1, 2014.  </w:t>
      </w:r>
      <w:hyperlink r:id="rId46" w:history="1">
        <w:r w:rsidRPr="00EF1A90">
          <w:rPr>
            <w:rStyle w:val="Hyperlink"/>
            <w:sz w:val="16"/>
            <w:szCs w:val="16"/>
          </w:rPr>
          <w:t>http://www.nanalyze.com/2014/07/sustainx-delivers-compressed-air-energy-storage-system/</w:t>
        </w:r>
      </w:hyperlink>
      <w:r>
        <w:rPr>
          <w:sz w:val="16"/>
          <w:szCs w:val="16"/>
        </w:rPr>
        <w:t xml:space="preserve"> and “SustainX Technology Report: SustainX Smart Grid Program.” SustainX, July 30, 2014. </w:t>
      </w:r>
      <w:hyperlink r:id="rId47" w:history="1">
        <w:r w:rsidRPr="00EF1A90">
          <w:rPr>
            <w:rStyle w:val="Hyperlink"/>
            <w:sz w:val="16"/>
            <w:szCs w:val="16"/>
          </w:rPr>
          <w:t>https://www.smartgrid.gov/sites/default/files/doc/files/20140717%20-%20SustainX%20DOE%20Smart%20Grid%20TRP%20Interim.pdf</w:t>
        </w:r>
      </w:hyperlink>
    </w:p>
    <w:p w14:paraId="3F255AE9" w14:textId="77777777" w:rsidR="006510E4" w:rsidRDefault="006510E4">
      <w:pPr>
        <w:pStyle w:val="FootnoteText"/>
        <w:rPr>
          <w:sz w:val="16"/>
          <w:szCs w:val="16"/>
        </w:rPr>
      </w:pPr>
    </w:p>
    <w:p w14:paraId="4F1B4CCB" w14:textId="77777777" w:rsidR="006510E4" w:rsidRPr="005240FF" w:rsidRDefault="006510E4">
      <w:pPr>
        <w:pStyle w:val="FootnoteText"/>
        <w:rPr>
          <w:sz w:val="16"/>
          <w:szCs w:val="16"/>
        </w:rPr>
      </w:pPr>
    </w:p>
  </w:footnote>
  <w:footnote w:id="52">
    <w:p w14:paraId="459EFA5B" w14:textId="02783857" w:rsidR="006510E4" w:rsidRPr="000C43E4" w:rsidRDefault="006510E4" w:rsidP="000C43E4">
      <w:r>
        <w:rPr>
          <w:rStyle w:val="FootnoteReference"/>
        </w:rPr>
        <w:footnoteRef/>
      </w:r>
      <w:r>
        <w:t xml:space="preserve"> </w:t>
      </w:r>
      <w:r>
        <w:rPr>
          <w:sz w:val="16"/>
          <w:szCs w:val="16"/>
        </w:rPr>
        <w:t xml:space="preserve">Beacon Power Website. </w:t>
      </w:r>
      <w:hyperlink r:id="rId48" w:history="1">
        <w:r w:rsidRPr="00D93A69">
          <w:rPr>
            <w:rStyle w:val="Hyperlink"/>
            <w:sz w:val="16"/>
            <w:szCs w:val="16"/>
          </w:rPr>
          <w:t>http://beaconpower.com/carbon-fiber-flywheels/</w:t>
        </w:r>
      </w:hyperlink>
    </w:p>
  </w:footnote>
  <w:footnote w:id="53">
    <w:p w14:paraId="1766BE5F" w14:textId="227BD68C" w:rsidR="006510E4" w:rsidRDefault="006510E4">
      <w:pPr>
        <w:pStyle w:val="FootnoteText"/>
        <w:rPr>
          <w:sz w:val="16"/>
          <w:szCs w:val="16"/>
        </w:rPr>
      </w:pPr>
      <w:r>
        <w:rPr>
          <w:rStyle w:val="FootnoteReference"/>
        </w:rPr>
        <w:footnoteRef/>
      </w:r>
      <w:r>
        <w:t xml:space="preserve"> </w:t>
      </w:r>
      <w:r>
        <w:rPr>
          <w:sz w:val="16"/>
          <w:szCs w:val="16"/>
        </w:rPr>
        <w:t xml:space="preserve">“Flywheel of Fortune.” Slate, August 2014, </w:t>
      </w:r>
      <w:hyperlink r:id="rId49" w:history="1">
        <w:r w:rsidRPr="00EF1A90">
          <w:rPr>
            <w:rStyle w:val="Hyperlink"/>
            <w:sz w:val="16"/>
            <w:szCs w:val="16"/>
          </w:rPr>
          <w:t>http://www.slate.com/articles/business/the_juice/2014/08/beacon_power_the_department_of_energy_loan_recipient_is_making_a_comeback.html</w:t>
        </w:r>
      </w:hyperlink>
    </w:p>
    <w:p w14:paraId="3DA7FA5F" w14:textId="77777777" w:rsidR="006510E4" w:rsidRPr="000C43E4" w:rsidRDefault="006510E4">
      <w:pPr>
        <w:pStyle w:val="FootnoteText"/>
        <w:rPr>
          <w:sz w:val="16"/>
          <w:szCs w:val="16"/>
        </w:rPr>
      </w:pPr>
    </w:p>
  </w:footnote>
  <w:footnote w:id="54">
    <w:p w14:paraId="1C743247" w14:textId="693EB043" w:rsidR="006510E4" w:rsidRPr="00EF2A3B" w:rsidRDefault="006510E4">
      <w:pPr>
        <w:pStyle w:val="FootnoteText"/>
        <w:rPr>
          <w:sz w:val="16"/>
          <w:szCs w:val="16"/>
        </w:rPr>
      </w:pPr>
      <w:r>
        <w:rPr>
          <w:rStyle w:val="FootnoteReference"/>
        </w:rPr>
        <w:footnoteRef/>
      </w:r>
      <w:r>
        <w:t xml:space="preserve"> </w:t>
      </w:r>
      <w:r>
        <w:rPr>
          <w:sz w:val="16"/>
          <w:szCs w:val="16"/>
        </w:rPr>
        <w:t xml:space="preserve">Slate, August 2014. </w:t>
      </w:r>
    </w:p>
  </w:footnote>
  <w:footnote w:id="55">
    <w:p w14:paraId="0A360A7E" w14:textId="60527EA9" w:rsidR="006510E4" w:rsidRPr="00EF2A3B" w:rsidRDefault="006510E4" w:rsidP="00EF2A3B">
      <w:pPr>
        <w:pStyle w:val="FootnoteText"/>
        <w:rPr>
          <w:sz w:val="16"/>
          <w:szCs w:val="16"/>
        </w:rPr>
      </w:pPr>
      <w:r>
        <w:rPr>
          <w:rStyle w:val="FootnoteReference"/>
        </w:rPr>
        <w:footnoteRef/>
      </w:r>
      <w:r>
        <w:t xml:space="preserve"> </w:t>
      </w:r>
      <w:r>
        <w:rPr>
          <w:sz w:val="16"/>
          <w:szCs w:val="16"/>
        </w:rPr>
        <w:t xml:space="preserve">“Beacon Sees Demand Doubling for Energy-Storage Flywheels.” Bloomberg, August 5, 2014. </w:t>
      </w:r>
      <w:hyperlink r:id="rId50" w:history="1">
        <w:r w:rsidRPr="00EF1A90">
          <w:rPr>
            <w:rStyle w:val="Hyperlink"/>
            <w:sz w:val="16"/>
            <w:szCs w:val="16"/>
          </w:rPr>
          <w:t>http://www.bloomberg.com/news/2014-08-05/beacon-sees-demand-doubling-for-energy-storage-flywheels.html</w:t>
        </w:r>
      </w:hyperlink>
    </w:p>
  </w:footnote>
  <w:footnote w:id="56">
    <w:p w14:paraId="75FB85CE" w14:textId="28BCB22A" w:rsidR="006510E4" w:rsidRPr="00716FE9" w:rsidRDefault="006510E4">
      <w:pPr>
        <w:pStyle w:val="FootnoteText"/>
        <w:rPr>
          <w:sz w:val="16"/>
          <w:szCs w:val="16"/>
        </w:rPr>
      </w:pPr>
      <w:r>
        <w:rPr>
          <w:rStyle w:val="FootnoteReference"/>
        </w:rPr>
        <w:footnoteRef/>
      </w:r>
      <w:r>
        <w:t xml:space="preserve"> </w:t>
      </w:r>
      <w:r>
        <w:rPr>
          <w:sz w:val="16"/>
          <w:szCs w:val="16"/>
        </w:rPr>
        <w:t xml:space="preserve">UC San Diego is Building the ‘Motel 6’ of Microgrids. GreenTechMedia, May 19, 2014. </w:t>
      </w:r>
      <w:hyperlink r:id="rId51" w:history="1">
        <w:r w:rsidRPr="00EF1A90">
          <w:rPr>
            <w:rStyle w:val="Hyperlink"/>
            <w:sz w:val="16"/>
            <w:szCs w:val="16"/>
          </w:rPr>
          <w:t>http://www.greentechmedia.com/articles/read/byrom-washom-master-of-the-microgrid</w:t>
        </w:r>
      </w:hyperlink>
    </w:p>
  </w:footnote>
  <w:footnote w:id="57">
    <w:p w14:paraId="268652C4" w14:textId="56CDD709" w:rsidR="006510E4" w:rsidRPr="00716FE9" w:rsidRDefault="006510E4">
      <w:pPr>
        <w:pStyle w:val="FootnoteText"/>
        <w:rPr>
          <w:sz w:val="16"/>
          <w:szCs w:val="16"/>
        </w:rPr>
      </w:pPr>
      <w:r>
        <w:rPr>
          <w:rStyle w:val="FootnoteReference"/>
        </w:rPr>
        <w:footnoteRef/>
      </w:r>
      <w:r>
        <w:t xml:space="preserve"> </w:t>
      </w:r>
      <w:r>
        <w:rPr>
          <w:sz w:val="16"/>
          <w:szCs w:val="16"/>
        </w:rPr>
        <w:t xml:space="preserve">“Next-Generation Advanced Batteries Will Reach $9.4 Billion in Annual Revenue by 2023.” Navigant, June 18, 2014. </w:t>
      </w:r>
      <w:hyperlink r:id="rId52" w:history="1">
        <w:r w:rsidRPr="00EF1A90">
          <w:rPr>
            <w:rStyle w:val="Hyperlink"/>
            <w:sz w:val="16"/>
            <w:szCs w:val="16"/>
          </w:rPr>
          <w:t>http://www.navigantresearch.com/newsroom/next-generation-advanced-batteries-will-reach-9-4-billion-in-annual-revenue-by-2023</w:t>
        </w:r>
      </w:hyperlink>
    </w:p>
  </w:footnote>
  <w:footnote w:id="58">
    <w:p w14:paraId="3E3C386D" w14:textId="1D71C4A6" w:rsidR="006510E4" w:rsidRPr="00D530AE" w:rsidRDefault="006510E4">
      <w:pPr>
        <w:pStyle w:val="FootnoteText"/>
        <w:rPr>
          <w:sz w:val="16"/>
          <w:szCs w:val="16"/>
        </w:rPr>
      </w:pPr>
      <w:r>
        <w:rPr>
          <w:rStyle w:val="FootnoteReference"/>
        </w:rPr>
        <w:footnoteRef/>
      </w:r>
      <w:r>
        <w:t xml:space="preserve"> </w:t>
      </w:r>
      <w:r>
        <w:rPr>
          <w:sz w:val="16"/>
          <w:szCs w:val="16"/>
        </w:rPr>
        <w:t xml:space="preserve">“Kugelpumpspeicher Unterwasser.” Energy Storage Website of the Federal Republic of Germany. </w:t>
      </w:r>
      <w:hyperlink r:id="rId53" w:history="1">
        <w:r w:rsidRPr="00EF1A90">
          <w:rPr>
            <w:rStyle w:val="Hyperlink"/>
            <w:sz w:val="16"/>
            <w:szCs w:val="16"/>
          </w:rPr>
          <w:t>http://forschung-energiespeicher.info/projektschau/gesamtliste/projekt-einzelansicht/95/Kugelpumpspeicher_unter_Wasser/</w:t>
        </w:r>
      </w:hyperlink>
    </w:p>
  </w:footnote>
  <w:footnote w:id="59">
    <w:p w14:paraId="10932153" w14:textId="77777777" w:rsidR="006510E4" w:rsidRPr="00344BC4" w:rsidRDefault="006510E4" w:rsidP="007F0606">
      <w:pPr>
        <w:widowControl w:val="0"/>
        <w:autoSpaceDE w:val="0"/>
        <w:autoSpaceDN w:val="0"/>
        <w:adjustRightInd w:val="0"/>
        <w:rPr>
          <w:rFonts w:cs="Arial"/>
          <w:color w:val="4C4D4F"/>
          <w:sz w:val="16"/>
          <w:szCs w:val="16"/>
        </w:rPr>
      </w:pPr>
      <w:r>
        <w:rPr>
          <w:rStyle w:val="FootnoteReference"/>
        </w:rPr>
        <w:footnoteRef/>
      </w:r>
      <w:r>
        <w:t xml:space="preserve"> </w:t>
      </w:r>
      <w:r w:rsidRPr="00C43FDB">
        <w:rPr>
          <w:rFonts w:cs="Arial"/>
          <w:color w:val="4C4D4F"/>
          <w:sz w:val="16"/>
          <w:szCs w:val="16"/>
        </w:rPr>
        <w:t>Mapping and Assessing of the United States Ocean Wave Energy Resource 2011</w:t>
      </w:r>
      <w:r>
        <w:rPr>
          <w:rFonts w:cs="Arial"/>
          <w:color w:val="4C4D4F"/>
          <w:sz w:val="16"/>
          <w:szCs w:val="16"/>
        </w:rPr>
        <w:t xml:space="preserve"> </w:t>
      </w:r>
      <w:hyperlink r:id="rId54" w:history="1">
        <w:r w:rsidRPr="00C43FDB">
          <w:rPr>
            <w:rStyle w:val="Hyperlink"/>
            <w:rFonts w:cs="Arial"/>
            <w:sz w:val="16"/>
            <w:szCs w:val="16"/>
          </w:rPr>
          <w:t>http://www1.eere.energy.gov/water//pdfs/mappingandassessment.pdf</w:t>
        </w:r>
      </w:hyperlink>
    </w:p>
  </w:footnote>
  <w:footnote w:id="60">
    <w:p w14:paraId="5E1DC8DB" w14:textId="560EEA85" w:rsidR="006510E4" w:rsidRPr="0049487F" w:rsidRDefault="006510E4" w:rsidP="0049487F">
      <w:pPr>
        <w:widowControl w:val="0"/>
        <w:autoSpaceDE w:val="0"/>
        <w:autoSpaceDN w:val="0"/>
        <w:adjustRightInd w:val="0"/>
        <w:rPr>
          <w:rFonts w:cs="Arial"/>
          <w:color w:val="4C4D4F"/>
          <w:sz w:val="16"/>
          <w:szCs w:val="16"/>
        </w:rPr>
      </w:pPr>
      <w:r>
        <w:rPr>
          <w:rStyle w:val="FootnoteReference"/>
        </w:rPr>
        <w:footnoteRef/>
      </w:r>
      <w:r>
        <w:t xml:space="preserve"> </w:t>
      </w:r>
      <w:r>
        <w:rPr>
          <w:sz w:val="16"/>
          <w:szCs w:val="16"/>
        </w:rPr>
        <w:t xml:space="preserve">“Why Wave Power Energy has Lagged Behind.” GreenBiz, May 14, 2014. </w:t>
      </w:r>
      <w:hyperlink r:id="rId55" w:history="1">
        <w:r w:rsidRPr="00F80756">
          <w:rPr>
            <w:rStyle w:val="Hyperlink"/>
            <w:rFonts w:cs="Arial"/>
            <w:sz w:val="16"/>
            <w:szCs w:val="16"/>
          </w:rPr>
          <w:t>http://www.greenbiz.com/blog/2014/05/14/why-wave-power-energy-has-lagged-far-behind</w:t>
        </w:r>
      </w:hyperlink>
    </w:p>
  </w:footnote>
  <w:footnote w:id="61">
    <w:p w14:paraId="490A045B" w14:textId="1547DA6B" w:rsidR="006510E4" w:rsidRPr="0049487F" w:rsidRDefault="006510E4">
      <w:pPr>
        <w:pStyle w:val="FootnoteText"/>
        <w:rPr>
          <w:sz w:val="16"/>
          <w:szCs w:val="16"/>
        </w:rPr>
      </w:pPr>
      <w:r>
        <w:rPr>
          <w:rStyle w:val="FootnoteReference"/>
        </w:rPr>
        <w:footnoteRef/>
      </w:r>
      <w:r>
        <w:t xml:space="preserve"> </w:t>
      </w:r>
      <w:r>
        <w:rPr>
          <w:sz w:val="16"/>
          <w:szCs w:val="16"/>
        </w:rPr>
        <w:t xml:space="preserve">GreenBiz, May 2014. </w:t>
      </w:r>
    </w:p>
  </w:footnote>
  <w:footnote w:id="62">
    <w:p w14:paraId="199D0BEE" w14:textId="51AC77F1" w:rsidR="006510E4" w:rsidRPr="0049487F" w:rsidRDefault="006510E4" w:rsidP="0049487F">
      <w:pPr>
        <w:widowControl w:val="0"/>
        <w:autoSpaceDE w:val="0"/>
        <w:autoSpaceDN w:val="0"/>
        <w:adjustRightInd w:val="0"/>
        <w:rPr>
          <w:rFonts w:cs="Times"/>
          <w:color w:val="252324"/>
          <w:sz w:val="16"/>
          <w:szCs w:val="16"/>
        </w:rPr>
      </w:pPr>
      <w:r>
        <w:rPr>
          <w:rStyle w:val="FootnoteReference"/>
        </w:rPr>
        <w:footnoteRef/>
      </w:r>
      <w:r>
        <w:t xml:space="preserve"> </w:t>
      </w:r>
      <w:r>
        <w:rPr>
          <w:sz w:val="16"/>
          <w:szCs w:val="16"/>
        </w:rPr>
        <w:t xml:space="preserve">Pelamis Waver Power Web Site: </w:t>
      </w:r>
      <w:hyperlink r:id="rId56" w:history="1">
        <w:r w:rsidRPr="00F80756">
          <w:rPr>
            <w:rStyle w:val="Hyperlink"/>
            <w:rFonts w:cs="Times"/>
            <w:sz w:val="16"/>
            <w:szCs w:val="16"/>
          </w:rPr>
          <w:t>http://www.pelamiswave.com/pelamis-technology</w:t>
        </w:r>
      </w:hyperlink>
    </w:p>
  </w:footnote>
  <w:footnote w:id="63">
    <w:p w14:paraId="540D0FC8" w14:textId="0BBDE54D" w:rsidR="006510E4" w:rsidRPr="0049487F" w:rsidRDefault="006510E4">
      <w:pPr>
        <w:pStyle w:val="FootnoteText"/>
        <w:rPr>
          <w:sz w:val="16"/>
          <w:szCs w:val="16"/>
        </w:rPr>
      </w:pPr>
      <w:r>
        <w:rPr>
          <w:rStyle w:val="FootnoteReference"/>
        </w:rPr>
        <w:footnoteRef/>
      </w:r>
      <w:r>
        <w:t xml:space="preserve"> </w:t>
      </w:r>
      <w:r>
        <w:rPr>
          <w:sz w:val="16"/>
          <w:szCs w:val="16"/>
        </w:rPr>
        <w:t xml:space="preserve">“Pelamis Selected for 1.4 Million Pound ETI Wave Power Project.” Pelamis, February 27, 2013. </w:t>
      </w:r>
      <w:hyperlink r:id="rId57" w:history="1">
        <w:r w:rsidRPr="00232AEA">
          <w:rPr>
            <w:rStyle w:val="Hyperlink"/>
            <w:sz w:val="16"/>
            <w:szCs w:val="16"/>
          </w:rPr>
          <w:t>http://www.pelamiswave.com/news/news/127/Pelamis-selected-for-1.4m-ETI-wave-power-project</w:t>
        </w:r>
      </w:hyperlink>
    </w:p>
  </w:footnote>
  <w:footnote w:id="64">
    <w:p w14:paraId="6579B2F0" w14:textId="4F87BC69" w:rsidR="006510E4" w:rsidRPr="0049487F" w:rsidRDefault="006510E4">
      <w:pPr>
        <w:pStyle w:val="FootnoteText"/>
        <w:rPr>
          <w:sz w:val="16"/>
          <w:szCs w:val="16"/>
        </w:rPr>
      </w:pPr>
      <w:r>
        <w:rPr>
          <w:rStyle w:val="FootnoteReference"/>
        </w:rPr>
        <w:footnoteRef/>
      </w:r>
      <w:r>
        <w:t xml:space="preserve"> </w:t>
      </w:r>
      <w:r>
        <w:rPr>
          <w:sz w:val="16"/>
          <w:szCs w:val="16"/>
        </w:rPr>
        <w:t xml:space="preserve">“Pelamis Wave Power Limited (“Pelamis”) to be Put into Administration.” Pelamis, November, 21, 2014. </w:t>
      </w:r>
      <w:hyperlink r:id="rId58" w:history="1">
        <w:r w:rsidRPr="00232AEA">
          <w:rPr>
            <w:rStyle w:val="Hyperlink"/>
            <w:sz w:val="16"/>
            <w:szCs w:val="16"/>
          </w:rPr>
          <w:t>http://www.pelamiswave.com/news/news/173/Pelamis-Wave-Power-Limited-Pelamis-to-be-put-into-administration</w:t>
        </w:r>
      </w:hyperlink>
    </w:p>
  </w:footnote>
  <w:footnote w:id="65">
    <w:p w14:paraId="11685C34" w14:textId="7C276FF5" w:rsidR="006510E4" w:rsidRDefault="006510E4">
      <w:pPr>
        <w:pStyle w:val="FootnoteText"/>
        <w:rPr>
          <w:sz w:val="16"/>
          <w:szCs w:val="16"/>
        </w:rPr>
      </w:pPr>
      <w:r>
        <w:rPr>
          <w:rStyle w:val="FootnoteReference"/>
        </w:rPr>
        <w:footnoteRef/>
      </w:r>
      <w:r>
        <w:t xml:space="preserve"> </w:t>
      </w:r>
      <w:r w:rsidRPr="0076662A">
        <w:rPr>
          <w:sz w:val="16"/>
          <w:szCs w:val="16"/>
        </w:rPr>
        <w:t>CETO in Wikipedia</w:t>
      </w:r>
      <w:r>
        <w:rPr>
          <w:sz w:val="16"/>
          <w:szCs w:val="16"/>
        </w:rPr>
        <w:t xml:space="preserve"> </w:t>
      </w:r>
      <w:hyperlink r:id="rId59" w:history="1">
        <w:r w:rsidRPr="00232AEA">
          <w:rPr>
            <w:rStyle w:val="Hyperlink"/>
            <w:sz w:val="16"/>
            <w:szCs w:val="16"/>
          </w:rPr>
          <w:t>http://en.wikipedia.org/wiki/CETO</w:t>
        </w:r>
      </w:hyperlink>
    </w:p>
    <w:p w14:paraId="4AD2A6EE" w14:textId="77777777" w:rsidR="006510E4" w:rsidRDefault="006510E4">
      <w:pPr>
        <w:pStyle w:val="FootnoteText"/>
      </w:pPr>
    </w:p>
  </w:footnote>
  <w:footnote w:id="66">
    <w:p w14:paraId="18EDDCAC" w14:textId="5378C493" w:rsidR="006510E4" w:rsidRPr="00CE600C" w:rsidRDefault="006510E4" w:rsidP="00CE600C">
      <w:pPr>
        <w:widowControl w:val="0"/>
        <w:autoSpaceDE w:val="0"/>
        <w:autoSpaceDN w:val="0"/>
        <w:adjustRightInd w:val="0"/>
        <w:rPr>
          <w:rFonts w:cs="Arial"/>
          <w:color w:val="4C4D4F"/>
          <w:sz w:val="16"/>
          <w:szCs w:val="16"/>
        </w:rPr>
      </w:pPr>
      <w:r>
        <w:rPr>
          <w:rStyle w:val="FootnoteReference"/>
        </w:rPr>
        <w:footnoteRef/>
      </w:r>
      <w:r>
        <w:t xml:space="preserve"> </w:t>
      </w:r>
      <w:r>
        <w:rPr>
          <w:sz w:val="16"/>
          <w:szCs w:val="16"/>
        </w:rPr>
        <w:t xml:space="preserve">“CETO Overview.” Carnegie Wave Web Site </w:t>
      </w:r>
      <w:hyperlink r:id="rId60" w:history="1">
        <w:r w:rsidRPr="00F80756">
          <w:rPr>
            <w:rStyle w:val="Hyperlink"/>
            <w:rFonts w:cs="Arial"/>
            <w:sz w:val="16"/>
            <w:szCs w:val="16"/>
          </w:rPr>
          <w:t>http://carnegiewave.com/ceto-technology/ceto-overview.html</w:t>
        </w:r>
      </w:hyperlink>
    </w:p>
  </w:footnote>
  <w:footnote w:id="67">
    <w:p w14:paraId="02D40948" w14:textId="5537F470" w:rsidR="006510E4" w:rsidRDefault="006510E4">
      <w:pPr>
        <w:pStyle w:val="FootnoteText"/>
        <w:rPr>
          <w:sz w:val="16"/>
          <w:szCs w:val="16"/>
        </w:rPr>
      </w:pPr>
      <w:r>
        <w:rPr>
          <w:rStyle w:val="FootnoteReference"/>
        </w:rPr>
        <w:footnoteRef/>
      </w:r>
      <w:r>
        <w:t xml:space="preserve"> </w:t>
      </w:r>
      <w:r>
        <w:rPr>
          <w:sz w:val="16"/>
          <w:szCs w:val="16"/>
        </w:rPr>
        <w:t xml:space="preserve">“M3 Wave Announces Successful Deployment of Submerged Wave Energy Device Off Oregon Coast.”  Oregon Wave Energy Trust, September 12, 2014. </w:t>
      </w:r>
      <w:hyperlink r:id="rId61" w:history="1">
        <w:r w:rsidRPr="00232AEA">
          <w:rPr>
            <w:rStyle w:val="Hyperlink"/>
            <w:sz w:val="16"/>
            <w:szCs w:val="16"/>
          </w:rPr>
          <w:t>http://oregonwave.org/news/m3-wave-announces-successful-deployment-submerged-wave-energy-device-oregon-coast/</w:t>
        </w:r>
      </w:hyperlink>
    </w:p>
    <w:p w14:paraId="5074645E" w14:textId="77777777" w:rsidR="006510E4" w:rsidRPr="00CE600C" w:rsidRDefault="006510E4">
      <w:pPr>
        <w:pStyle w:val="FootnoteText"/>
        <w:rPr>
          <w:sz w:val="16"/>
          <w:szCs w:val="16"/>
        </w:rPr>
      </w:pPr>
    </w:p>
  </w:footnote>
  <w:footnote w:id="68">
    <w:p w14:paraId="6C3182F1" w14:textId="0A02BE1E" w:rsidR="006510E4" w:rsidRPr="00732875" w:rsidRDefault="006510E4">
      <w:pPr>
        <w:pStyle w:val="FootnoteText"/>
        <w:rPr>
          <w:sz w:val="16"/>
          <w:szCs w:val="16"/>
        </w:rPr>
      </w:pPr>
      <w:r>
        <w:rPr>
          <w:rStyle w:val="FootnoteReference"/>
        </w:rPr>
        <w:footnoteRef/>
      </w:r>
      <w:r>
        <w:t xml:space="preserve"> </w:t>
      </w:r>
      <w:r>
        <w:rPr>
          <w:sz w:val="16"/>
          <w:szCs w:val="16"/>
        </w:rPr>
        <w:t xml:space="preserve">Global Fuel Cell Market is Expecting Growth at CAGR of 49.1% from 2014 to 2020: New Report by Grand View Research, Inc. Nasdaq Globenewswire, November 13, 2013. </w:t>
      </w:r>
      <w:hyperlink r:id="rId62" w:history="1">
        <w:r w:rsidRPr="00232AEA">
          <w:rPr>
            <w:rStyle w:val="Hyperlink"/>
            <w:sz w:val="16"/>
            <w:szCs w:val="16"/>
          </w:rPr>
          <w:t>http://globenewswire.com/news-release/2014/11/13/682920/10108080/en/Global-Fuel-Cell-Market-Is-Expecting-Growth-At-CAGR-Of-49-1-From-2014-To-2020-New-Report-By-Grand-View-Research-Inc.html</w:t>
        </w:r>
      </w:hyperlink>
    </w:p>
  </w:footnote>
  <w:footnote w:id="69">
    <w:p w14:paraId="05B0E3F1" w14:textId="33EFB6A5" w:rsidR="006510E4" w:rsidRPr="00E163A5" w:rsidRDefault="006510E4">
      <w:pPr>
        <w:pStyle w:val="FootnoteText"/>
        <w:rPr>
          <w:sz w:val="16"/>
          <w:szCs w:val="16"/>
        </w:rPr>
      </w:pPr>
      <w:r>
        <w:rPr>
          <w:rStyle w:val="FootnoteReference"/>
        </w:rPr>
        <w:footnoteRef/>
      </w:r>
      <w:r>
        <w:t xml:space="preserve"> </w:t>
      </w:r>
      <w:r>
        <w:rPr>
          <w:sz w:val="16"/>
          <w:szCs w:val="16"/>
        </w:rPr>
        <w:t xml:space="preserve">“Energy Department Invests Over $7 Million to Commercialize Cost-Effective Hydrogen and Fuel Cell Technologies.” DOE, December 17, 2013. </w:t>
      </w:r>
      <w:hyperlink r:id="rId63" w:history="1">
        <w:r w:rsidRPr="00232AEA">
          <w:rPr>
            <w:rStyle w:val="Hyperlink"/>
            <w:sz w:val="16"/>
            <w:szCs w:val="16"/>
          </w:rPr>
          <w:t>http://energy.gov/articles/energy-department-invests-over-7-million-commercialize-cost-effective-hydrogen-and-fuel?__utma=1.492133890.1394232753.1394232753.1394232753.1&amp;__utmb=1.1.10.1394232753&amp;__utmc=1&amp;__utmx=-&amp;__utmz=1.1394232753.1.1.utmcsr=google|utmccn=%28organic%29|utmcmd=organic|utmctr=%28not%20provided%29&amp;__utmv=-&amp;__utmk=190458283</w:t>
        </w:r>
      </w:hyperlink>
    </w:p>
  </w:footnote>
  <w:footnote w:id="70">
    <w:p w14:paraId="3E18187D" w14:textId="4328D364" w:rsidR="006510E4" w:rsidRPr="00E163A5" w:rsidRDefault="006510E4">
      <w:pPr>
        <w:pStyle w:val="FootnoteText"/>
        <w:rPr>
          <w:sz w:val="16"/>
          <w:szCs w:val="16"/>
        </w:rPr>
      </w:pPr>
      <w:r>
        <w:rPr>
          <w:rStyle w:val="FootnoteReference"/>
        </w:rPr>
        <w:footnoteRef/>
      </w:r>
      <w:r>
        <w:t xml:space="preserve"> </w:t>
      </w:r>
      <w:r>
        <w:rPr>
          <w:sz w:val="16"/>
          <w:szCs w:val="16"/>
        </w:rPr>
        <w:t xml:space="preserve">“Fuel Cell Market by Product and Segment Forecasts to 2020.” Grand View Research, April 2014. </w:t>
      </w:r>
      <w:hyperlink r:id="rId64" w:history="1">
        <w:r w:rsidRPr="00232AEA">
          <w:rPr>
            <w:rStyle w:val="Hyperlink"/>
            <w:sz w:val="16"/>
            <w:szCs w:val="16"/>
          </w:rPr>
          <w:t>http://www.grandviewresearch.com/industry-analysis/fuel-cell-market</w:t>
        </w:r>
      </w:hyperlink>
    </w:p>
  </w:footnote>
  <w:footnote w:id="71">
    <w:p w14:paraId="47E8D847" w14:textId="10428D5B" w:rsidR="006510E4" w:rsidRPr="005B6EAA" w:rsidRDefault="006510E4">
      <w:pPr>
        <w:pStyle w:val="FootnoteText"/>
        <w:rPr>
          <w:sz w:val="16"/>
          <w:szCs w:val="16"/>
        </w:rPr>
      </w:pPr>
      <w:r>
        <w:rPr>
          <w:rStyle w:val="FootnoteReference"/>
        </w:rPr>
        <w:footnoteRef/>
      </w:r>
      <w:r>
        <w:t xml:space="preserve"> </w:t>
      </w:r>
      <w:r>
        <w:rPr>
          <w:sz w:val="16"/>
          <w:szCs w:val="16"/>
        </w:rPr>
        <w:t xml:space="preserve">Grand View Research, April 2014. </w:t>
      </w:r>
    </w:p>
  </w:footnote>
  <w:footnote w:id="72">
    <w:p w14:paraId="3DC87B43" w14:textId="4F2D8085" w:rsidR="006510E4" w:rsidRPr="0017018E" w:rsidRDefault="006510E4">
      <w:pPr>
        <w:pStyle w:val="FootnoteText"/>
        <w:rPr>
          <w:sz w:val="16"/>
          <w:szCs w:val="16"/>
        </w:rPr>
      </w:pPr>
      <w:r>
        <w:rPr>
          <w:rStyle w:val="FootnoteReference"/>
        </w:rPr>
        <w:footnoteRef/>
      </w:r>
      <w:r>
        <w:t xml:space="preserve"> </w:t>
      </w:r>
      <w:r>
        <w:rPr>
          <w:sz w:val="16"/>
          <w:szCs w:val="16"/>
        </w:rPr>
        <w:t xml:space="preserve">“State of the States: Fuel Cells in American.” DOE Fuel Cell Technologies Office, December 2014. </w:t>
      </w:r>
      <w:hyperlink r:id="rId65" w:history="1">
        <w:r w:rsidRPr="00232AEA">
          <w:rPr>
            <w:rStyle w:val="Hyperlink"/>
            <w:sz w:val="16"/>
            <w:szCs w:val="16"/>
          </w:rPr>
          <w:t>http://energy.gov/sites/prod/files/2014/12/f19/fcto_state_of_states_2014_1.pdf</w:t>
        </w:r>
      </w:hyperlink>
    </w:p>
  </w:footnote>
  <w:footnote w:id="73">
    <w:p w14:paraId="2278C9A9" w14:textId="0EDD2520" w:rsidR="006510E4" w:rsidRPr="002A18A2" w:rsidRDefault="006510E4">
      <w:pPr>
        <w:pStyle w:val="FootnoteText"/>
        <w:rPr>
          <w:sz w:val="16"/>
          <w:szCs w:val="16"/>
        </w:rPr>
      </w:pPr>
      <w:r>
        <w:rPr>
          <w:rStyle w:val="FootnoteReference"/>
        </w:rPr>
        <w:footnoteRef/>
      </w:r>
      <w:r>
        <w:t xml:space="preserve"> </w:t>
      </w:r>
      <w:r>
        <w:rPr>
          <w:sz w:val="16"/>
          <w:szCs w:val="16"/>
        </w:rPr>
        <w:t xml:space="preserve">“Fuel Cells Overtake Engines in Micro CHP Scene.” Cogeneration, July 15, 2013. </w:t>
      </w:r>
      <w:hyperlink r:id="rId66" w:history="1">
        <w:r w:rsidRPr="008C19CB">
          <w:rPr>
            <w:rStyle w:val="Hyperlink"/>
            <w:sz w:val="16"/>
            <w:szCs w:val="16"/>
          </w:rPr>
          <w:t>http://www.cospp.com/articles/2013/07/fuel-cells-overtake-engines-in-micro-chp-scene.html</w:t>
        </w:r>
      </w:hyperlink>
    </w:p>
  </w:footnote>
  <w:footnote w:id="74">
    <w:p w14:paraId="740BB7BE" w14:textId="2A7ED4AD" w:rsidR="006510E4" w:rsidRPr="00732875" w:rsidRDefault="006510E4">
      <w:pPr>
        <w:pStyle w:val="FootnoteText"/>
        <w:rPr>
          <w:sz w:val="16"/>
          <w:szCs w:val="16"/>
        </w:rPr>
      </w:pPr>
      <w:r>
        <w:rPr>
          <w:rStyle w:val="FootnoteReference"/>
        </w:rPr>
        <w:footnoteRef/>
      </w:r>
      <w:r>
        <w:t xml:space="preserve"> </w:t>
      </w:r>
      <w:r>
        <w:rPr>
          <w:sz w:val="16"/>
          <w:szCs w:val="16"/>
        </w:rPr>
        <w:t xml:space="preserve">Navigant expects the global stationary fuel cell market to increase from $1.4 billion in 2014 to $40 billion in 2022. (“Stationary Fuel Cells.” Navigant, 1Q 2014. </w:t>
      </w:r>
      <w:hyperlink r:id="rId67" w:history="1">
        <w:r w:rsidRPr="00232AEA">
          <w:rPr>
            <w:rStyle w:val="Hyperlink"/>
            <w:sz w:val="16"/>
            <w:szCs w:val="16"/>
          </w:rPr>
          <w:t>http://www.navigantresearch.com/research/stationary-fuel-cells</w:t>
        </w:r>
      </w:hyperlink>
      <w:r>
        <w:rPr>
          <w:sz w:val="16"/>
          <w:szCs w:val="16"/>
        </w:rPr>
        <w:t>)</w:t>
      </w:r>
    </w:p>
  </w:footnote>
  <w:footnote w:id="75">
    <w:p w14:paraId="6B0559DA" w14:textId="618683FA" w:rsidR="006510E4" w:rsidRPr="000E6E6F" w:rsidRDefault="006510E4">
      <w:pPr>
        <w:pStyle w:val="FootnoteText"/>
        <w:rPr>
          <w:sz w:val="16"/>
          <w:szCs w:val="16"/>
        </w:rPr>
      </w:pPr>
      <w:r>
        <w:rPr>
          <w:rStyle w:val="FootnoteReference"/>
        </w:rPr>
        <w:footnoteRef/>
      </w:r>
      <w:r>
        <w:t xml:space="preserve"> </w:t>
      </w:r>
      <w:r>
        <w:rPr>
          <w:sz w:val="16"/>
          <w:szCs w:val="16"/>
        </w:rPr>
        <w:t xml:space="preserve">Grand View Research, April 2014. </w:t>
      </w:r>
    </w:p>
  </w:footnote>
  <w:footnote w:id="76">
    <w:p w14:paraId="4708266F" w14:textId="1FBD50CC" w:rsidR="006510E4" w:rsidRPr="000E6E6F" w:rsidRDefault="006510E4">
      <w:pPr>
        <w:pStyle w:val="FootnoteText"/>
        <w:rPr>
          <w:sz w:val="16"/>
          <w:szCs w:val="16"/>
        </w:rPr>
      </w:pPr>
      <w:r>
        <w:rPr>
          <w:rStyle w:val="FootnoteReference"/>
        </w:rPr>
        <w:footnoteRef/>
      </w:r>
      <w:r>
        <w:t xml:space="preserve"> </w:t>
      </w:r>
      <w:r>
        <w:rPr>
          <w:sz w:val="16"/>
          <w:szCs w:val="16"/>
        </w:rPr>
        <w:t xml:space="preserve">Grand View Research, April 2014. </w:t>
      </w:r>
    </w:p>
  </w:footnote>
  <w:footnote w:id="77">
    <w:p w14:paraId="42285109" w14:textId="77777777" w:rsidR="006510E4" w:rsidRPr="000E6E6F" w:rsidRDefault="006510E4" w:rsidP="008015DE">
      <w:pPr>
        <w:pStyle w:val="FootnoteText"/>
        <w:rPr>
          <w:sz w:val="16"/>
          <w:szCs w:val="16"/>
        </w:rPr>
      </w:pPr>
      <w:r>
        <w:rPr>
          <w:rStyle w:val="FootnoteReference"/>
        </w:rPr>
        <w:footnoteRef/>
      </w:r>
      <w:r>
        <w:t xml:space="preserve"> </w:t>
      </w:r>
      <w:r>
        <w:rPr>
          <w:sz w:val="16"/>
          <w:szCs w:val="16"/>
        </w:rPr>
        <w:t xml:space="preserve">DOE, December 2013. </w:t>
      </w:r>
    </w:p>
  </w:footnote>
  <w:footnote w:id="78">
    <w:p w14:paraId="5F3B2609" w14:textId="277A3914" w:rsidR="006510E4" w:rsidRPr="008015DE" w:rsidRDefault="006510E4">
      <w:pPr>
        <w:pStyle w:val="FootnoteText"/>
        <w:rPr>
          <w:sz w:val="16"/>
          <w:szCs w:val="16"/>
        </w:rPr>
      </w:pPr>
      <w:r>
        <w:rPr>
          <w:rStyle w:val="FootnoteReference"/>
        </w:rPr>
        <w:footnoteRef/>
      </w:r>
      <w:r>
        <w:t xml:space="preserve"> </w:t>
      </w:r>
      <w:r>
        <w:rPr>
          <w:sz w:val="16"/>
          <w:szCs w:val="16"/>
        </w:rPr>
        <w:t xml:space="preserve">“First Commercially Available Fuel Cell Electric Vehicles Hits the Streets.” DOE, December 10, 2014.  </w:t>
      </w:r>
      <w:hyperlink r:id="rId68" w:history="1">
        <w:r w:rsidRPr="00232AEA">
          <w:rPr>
            <w:rStyle w:val="Hyperlink"/>
            <w:sz w:val="16"/>
            <w:szCs w:val="16"/>
          </w:rPr>
          <w:t>http://energy.gov/eere/articles/first-commercially-available-fuel-cell-electric-vehicles-hit-street</w:t>
        </w:r>
      </w:hyperlink>
    </w:p>
  </w:footnote>
  <w:footnote w:id="79">
    <w:p w14:paraId="784CFC2F" w14:textId="36E8D928" w:rsidR="006510E4" w:rsidRPr="008015DE" w:rsidRDefault="006510E4">
      <w:pPr>
        <w:pStyle w:val="FootnoteText"/>
        <w:rPr>
          <w:sz w:val="16"/>
          <w:szCs w:val="16"/>
        </w:rPr>
      </w:pPr>
      <w:r>
        <w:rPr>
          <w:rStyle w:val="FootnoteReference"/>
        </w:rPr>
        <w:footnoteRef/>
      </w:r>
      <w:r>
        <w:t xml:space="preserve"> </w:t>
      </w:r>
      <w:r>
        <w:rPr>
          <w:sz w:val="16"/>
          <w:szCs w:val="16"/>
        </w:rPr>
        <w:t xml:space="preserve">“Hydrogen Fuel Finally Graduating from Lab to City Streets.” Bloomberg, June 5, 2014. </w:t>
      </w:r>
      <w:hyperlink r:id="rId69" w:history="1">
        <w:r w:rsidRPr="00232AEA">
          <w:rPr>
            <w:rStyle w:val="Hyperlink"/>
            <w:sz w:val="16"/>
            <w:szCs w:val="16"/>
          </w:rPr>
          <w:t>http://www.bloomberg.com/news/2014-06-04/clean-hydrogen-advances-amid-fuel-cell-technology-gains.html</w:t>
        </w:r>
      </w:hyperlink>
    </w:p>
  </w:footnote>
  <w:footnote w:id="80">
    <w:p w14:paraId="5435E470" w14:textId="7E1CD602" w:rsidR="006510E4" w:rsidRPr="00546C46" w:rsidRDefault="006510E4">
      <w:pPr>
        <w:pStyle w:val="FootnoteText"/>
        <w:rPr>
          <w:sz w:val="16"/>
          <w:szCs w:val="16"/>
        </w:rPr>
      </w:pPr>
      <w:r>
        <w:rPr>
          <w:rStyle w:val="FootnoteReference"/>
        </w:rPr>
        <w:footnoteRef/>
      </w:r>
      <w:r>
        <w:t xml:space="preserve"> </w:t>
      </w:r>
      <w:r>
        <w:rPr>
          <w:sz w:val="16"/>
          <w:szCs w:val="16"/>
        </w:rPr>
        <w:t xml:space="preserve">DOE in “Here’s Why the Forecast for Microgrids Looks this Sunny.” GreenBiz, July 7, 2014. </w:t>
      </w:r>
      <w:hyperlink r:id="rId70" w:history="1">
        <w:r w:rsidRPr="008C19CB">
          <w:rPr>
            <w:rStyle w:val="Hyperlink"/>
            <w:sz w:val="16"/>
            <w:szCs w:val="16"/>
          </w:rPr>
          <w:t>http://www.greenbiz.com/blog/2014/07/07/power-microgrids-unfolding-now</w:t>
        </w:r>
      </w:hyperlink>
    </w:p>
  </w:footnote>
  <w:footnote w:id="81">
    <w:p w14:paraId="0243CAE0" w14:textId="334B1425" w:rsidR="006510E4" w:rsidRPr="00974B05" w:rsidRDefault="006510E4">
      <w:pPr>
        <w:pStyle w:val="FootnoteText"/>
        <w:rPr>
          <w:sz w:val="16"/>
          <w:szCs w:val="16"/>
        </w:rPr>
      </w:pPr>
      <w:r>
        <w:rPr>
          <w:rStyle w:val="FootnoteReference"/>
        </w:rPr>
        <w:footnoteRef/>
      </w:r>
      <w:r>
        <w:t xml:space="preserve"> </w:t>
      </w:r>
      <w:r>
        <w:rPr>
          <w:sz w:val="16"/>
          <w:szCs w:val="16"/>
        </w:rPr>
        <w:t xml:space="preserve">GreenBiz, July 2014. </w:t>
      </w:r>
    </w:p>
  </w:footnote>
  <w:footnote w:id="82">
    <w:p w14:paraId="5FBACC2B" w14:textId="21E1A2B7" w:rsidR="006510E4" w:rsidRPr="00974B05" w:rsidRDefault="006510E4">
      <w:pPr>
        <w:pStyle w:val="FootnoteText"/>
        <w:rPr>
          <w:sz w:val="16"/>
          <w:szCs w:val="16"/>
        </w:rPr>
      </w:pPr>
      <w:r>
        <w:rPr>
          <w:rStyle w:val="FootnoteReference"/>
        </w:rPr>
        <w:footnoteRef/>
      </w:r>
      <w:r>
        <w:t xml:space="preserve"> </w:t>
      </w:r>
      <w:r>
        <w:rPr>
          <w:sz w:val="16"/>
          <w:szCs w:val="16"/>
        </w:rPr>
        <w:t xml:space="preserve">See GreenBiz, July 2014 and  “US Microgrid Capacity Will Exceed 1.8 GW by 2018.” GreenTechMedia, June 26, 2014. </w:t>
      </w:r>
      <w:hyperlink r:id="rId71" w:history="1">
        <w:r w:rsidRPr="008C19CB">
          <w:rPr>
            <w:rStyle w:val="Hyperlink"/>
            <w:sz w:val="16"/>
            <w:szCs w:val="16"/>
          </w:rPr>
          <w:t>http://www.greentechmedia.com/articles/read/US-Microgrid-Capacity-Will-Exceed-1.8-GW-by-2018</w:t>
        </w:r>
      </w:hyperlink>
    </w:p>
  </w:footnote>
  <w:footnote w:id="83">
    <w:p w14:paraId="72B7DF40" w14:textId="682C1DEB" w:rsidR="006510E4" w:rsidRPr="00F45231" w:rsidRDefault="006510E4">
      <w:pPr>
        <w:pStyle w:val="FootnoteText"/>
        <w:rPr>
          <w:sz w:val="16"/>
          <w:szCs w:val="16"/>
        </w:rPr>
      </w:pPr>
      <w:r>
        <w:rPr>
          <w:rStyle w:val="FootnoteReference"/>
        </w:rPr>
        <w:footnoteRef/>
      </w:r>
      <w:r>
        <w:t xml:space="preserve"> </w:t>
      </w:r>
      <w:r>
        <w:rPr>
          <w:sz w:val="16"/>
          <w:szCs w:val="16"/>
        </w:rPr>
        <w:t>GreenTechMedia, June 2014.</w:t>
      </w:r>
    </w:p>
  </w:footnote>
  <w:footnote w:id="84">
    <w:p w14:paraId="7C83A3B4" w14:textId="73363BD4" w:rsidR="006510E4" w:rsidRPr="00F45231" w:rsidRDefault="006510E4">
      <w:pPr>
        <w:pStyle w:val="FootnoteText"/>
        <w:rPr>
          <w:sz w:val="16"/>
          <w:szCs w:val="16"/>
        </w:rPr>
      </w:pPr>
      <w:r>
        <w:rPr>
          <w:rStyle w:val="FootnoteReference"/>
        </w:rPr>
        <w:footnoteRef/>
      </w:r>
      <w:r>
        <w:t xml:space="preserve"> </w:t>
      </w:r>
      <w:r>
        <w:rPr>
          <w:sz w:val="16"/>
          <w:szCs w:val="16"/>
        </w:rPr>
        <w:t>GreenBiz, July 2014.</w:t>
      </w:r>
    </w:p>
  </w:footnote>
  <w:footnote w:id="85">
    <w:p w14:paraId="7130950D" w14:textId="1332BE17" w:rsidR="006510E4" w:rsidRDefault="006510E4">
      <w:pPr>
        <w:pStyle w:val="FootnoteText"/>
        <w:rPr>
          <w:sz w:val="16"/>
          <w:szCs w:val="16"/>
        </w:rPr>
      </w:pPr>
      <w:r>
        <w:rPr>
          <w:rStyle w:val="FootnoteReference"/>
        </w:rPr>
        <w:footnoteRef/>
      </w:r>
      <w:r>
        <w:t xml:space="preserve"> </w:t>
      </w:r>
      <w:r>
        <w:rPr>
          <w:sz w:val="16"/>
          <w:szCs w:val="16"/>
        </w:rPr>
        <w:t xml:space="preserve">“North Microgrids 2014: The Evolution of Localized Energy Optimization.” GTM Research, June 26, 2014. </w:t>
      </w:r>
      <w:hyperlink r:id="rId72" w:history="1">
        <w:r w:rsidRPr="008C19CB">
          <w:rPr>
            <w:rStyle w:val="Hyperlink"/>
            <w:sz w:val="16"/>
            <w:szCs w:val="16"/>
          </w:rPr>
          <w:t>http://www.greentechmedia.com/research/report/north-american-microgrids-2014</w:t>
        </w:r>
      </w:hyperlink>
    </w:p>
    <w:p w14:paraId="5ED545A8" w14:textId="77777777" w:rsidR="006510E4" w:rsidRPr="00F45231" w:rsidRDefault="006510E4">
      <w:pPr>
        <w:pStyle w:val="FootnoteText"/>
        <w:rPr>
          <w:sz w:val="16"/>
          <w:szCs w:val="16"/>
        </w:rPr>
      </w:pPr>
    </w:p>
  </w:footnote>
  <w:footnote w:id="86">
    <w:p w14:paraId="2D8E0F43" w14:textId="566C6365" w:rsidR="006510E4" w:rsidRPr="00166DA1" w:rsidRDefault="006510E4">
      <w:pPr>
        <w:pStyle w:val="FootnoteText"/>
        <w:rPr>
          <w:sz w:val="16"/>
          <w:szCs w:val="16"/>
        </w:rPr>
      </w:pPr>
      <w:r>
        <w:rPr>
          <w:rStyle w:val="FootnoteReference"/>
        </w:rPr>
        <w:footnoteRef/>
      </w:r>
      <w:r>
        <w:t xml:space="preserve"> </w:t>
      </w:r>
      <w:r>
        <w:rPr>
          <w:sz w:val="16"/>
          <w:szCs w:val="16"/>
        </w:rPr>
        <w:t xml:space="preserve">GTM Research, June 2014. </w:t>
      </w:r>
    </w:p>
  </w:footnote>
  <w:footnote w:id="87">
    <w:p w14:paraId="7B0535BD" w14:textId="2168E168" w:rsidR="006510E4" w:rsidRDefault="006510E4">
      <w:pPr>
        <w:pStyle w:val="FootnoteText"/>
        <w:rPr>
          <w:sz w:val="16"/>
          <w:szCs w:val="16"/>
        </w:rPr>
      </w:pPr>
      <w:r>
        <w:rPr>
          <w:rStyle w:val="FootnoteReference"/>
        </w:rPr>
        <w:footnoteRef/>
      </w:r>
      <w:r>
        <w:t xml:space="preserve"> </w:t>
      </w:r>
      <w:r>
        <w:rPr>
          <w:sz w:val="16"/>
          <w:szCs w:val="16"/>
        </w:rPr>
        <w:t xml:space="preserve">“Investment in Microgrid Enabling Technologies is Expected to Exceed $155 Billion Through 2023. Navigant, December 22, 2014. </w:t>
      </w:r>
      <w:hyperlink r:id="rId73" w:history="1">
        <w:r w:rsidRPr="008C19CB">
          <w:rPr>
            <w:rStyle w:val="Hyperlink"/>
            <w:sz w:val="16"/>
            <w:szCs w:val="16"/>
          </w:rPr>
          <w:t>http://www.navigantresearch.com/newsroom/investment-in-microgrid-enabling-technologies-is-expected-to-exceed-155-billion-through-2023</w:t>
        </w:r>
      </w:hyperlink>
    </w:p>
    <w:p w14:paraId="32EE476A" w14:textId="77777777" w:rsidR="006510E4" w:rsidRPr="00166DA1" w:rsidRDefault="006510E4">
      <w:pPr>
        <w:pStyle w:val="FootnoteText"/>
        <w:rPr>
          <w:sz w:val="16"/>
          <w:szCs w:val="16"/>
        </w:rPr>
      </w:pPr>
    </w:p>
  </w:footnote>
  <w:footnote w:id="88">
    <w:p w14:paraId="38F13975" w14:textId="76DDB8A6" w:rsidR="006510E4" w:rsidRPr="00166DA1" w:rsidRDefault="006510E4">
      <w:pPr>
        <w:pStyle w:val="FootnoteText"/>
        <w:rPr>
          <w:sz w:val="16"/>
          <w:szCs w:val="16"/>
        </w:rPr>
      </w:pPr>
      <w:r>
        <w:rPr>
          <w:rStyle w:val="FootnoteReference"/>
        </w:rPr>
        <w:footnoteRef/>
      </w:r>
      <w:r>
        <w:t xml:space="preserve"> </w:t>
      </w:r>
      <w:r>
        <w:rPr>
          <w:sz w:val="16"/>
          <w:szCs w:val="16"/>
        </w:rPr>
        <w:t xml:space="preserve">“Study: Utility Microgrid Annual Revenue to Reach $6 Billion by 2023.” UtilityDive, December 23, 2014. </w:t>
      </w:r>
      <w:hyperlink r:id="rId74" w:history="1">
        <w:r w:rsidRPr="008C19CB">
          <w:rPr>
            <w:rStyle w:val="Hyperlink"/>
            <w:sz w:val="16"/>
            <w:szCs w:val="16"/>
          </w:rPr>
          <w:t>http://www.utilitydive.com/news/study-utility-microgrid-annual-revenue-to-reach-6b-by-2023/346896/</w:t>
        </w:r>
      </w:hyperlink>
    </w:p>
  </w:footnote>
  <w:footnote w:id="89">
    <w:p w14:paraId="7B6BB0BA" w14:textId="49B9F1B6" w:rsidR="006510E4" w:rsidRDefault="006510E4">
      <w:pPr>
        <w:pStyle w:val="FootnoteText"/>
        <w:rPr>
          <w:sz w:val="16"/>
          <w:szCs w:val="16"/>
        </w:rPr>
      </w:pPr>
      <w:r>
        <w:rPr>
          <w:rStyle w:val="FootnoteReference"/>
        </w:rPr>
        <w:footnoteRef/>
      </w:r>
      <w:r>
        <w:t xml:space="preserve"> </w:t>
      </w:r>
      <w:r>
        <w:rPr>
          <w:sz w:val="16"/>
          <w:szCs w:val="16"/>
        </w:rPr>
        <w:t xml:space="preserve">“Remote Microgrids Will Surpass $8.4 Billion in Annual Revenue by 2020.” Navigant, September 25, 2013. </w:t>
      </w:r>
      <w:hyperlink r:id="rId75" w:history="1">
        <w:r w:rsidRPr="008C19CB">
          <w:rPr>
            <w:rStyle w:val="Hyperlink"/>
            <w:sz w:val="16"/>
            <w:szCs w:val="16"/>
          </w:rPr>
          <w:t>http://www.navigantresearch.com/newsroom/remote-microgrids-will-surpass-8-4-billion-in-annual-revenue-by-2020</w:t>
        </w:r>
      </w:hyperlink>
    </w:p>
    <w:p w14:paraId="56D35E68" w14:textId="77777777" w:rsidR="006510E4" w:rsidRPr="00166DA1" w:rsidRDefault="006510E4">
      <w:pPr>
        <w:pStyle w:val="FootnoteText"/>
        <w:rPr>
          <w:sz w:val="16"/>
          <w:szCs w:val="16"/>
        </w:rPr>
      </w:pPr>
    </w:p>
  </w:footnote>
  <w:footnote w:id="90">
    <w:p w14:paraId="6609ADF4" w14:textId="1C635265" w:rsidR="006510E4" w:rsidRPr="00217B8D" w:rsidRDefault="006510E4">
      <w:pPr>
        <w:pStyle w:val="FootnoteText"/>
        <w:rPr>
          <w:sz w:val="16"/>
          <w:szCs w:val="16"/>
        </w:rPr>
      </w:pPr>
      <w:r>
        <w:rPr>
          <w:rStyle w:val="FootnoteReference"/>
        </w:rPr>
        <w:footnoteRef/>
      </w:r>
      <w:r w:rsidRPr="00217B8D">
        <w:rPr>
          <w:sz w:val="16"/>
          <w:szCs w:val="16"/>
        </w:rPr>
        <w:t xml:space="preserve"> “</w:t>
      </w:r>
      <w:r>
        <w:rPr>
          <w:sz w:val="16"/>
          <w:szCs w:val="16"/>
        </w:rPr>
        <w:t xml:space="preserve">NREL to Advance Technologies for Microgrid Projects.” NREL, December 10, 2014. </w:t>
      </w:r>
      <w:hyperlink r:id="rId76" w:history="1">
        <w:r w:rsidRPr="008C19CB">
          <w:rPr>
            <w:rStyle w:val="Hyperlink"/>
            <w:sz w:val="16"/>
            <w:szCs w:val="16"/>
          </w:rPr>
          <w:t>http://www.nrel.gov/news/press/2014/15431.html</w:t>
        </w:r>
      </w:hyperlink>
    </w:p>
  </w:footnote>
  <w:footnote w:id="91">
    <w:p w14:paraId="34C44C28" w14:textId="522BBBA4" w:rsidR="006510E4" w:rsidRPr="00347B86" w:rsidRDefault="006510E4">
      <w:pPr>
        <w:pStyle w:val="FootnoteText"/>
        <w:rPr>
          <w:sz w:val="16"/>
          <w:szCs w:val="16"/>
        </w:rPr>
      </w:pPr>
      <w:r>
        <w:rPr>
          <w:rStyle w:val="FootnoteReference"/>
        </w:rPr>
        <w:footnoteRef/>
      </w:r>
      <w:r>
        <w:t xml:space="preserve"> </w:t>
      </w:r>
      <w:r>
        <w:rPr>
          <w:sz w:val="16"/>
          <w:szCs w:val="16"/>
        </w:rPr>
        <w:t xml:space="preserve">The U of San Diego’s microgrid is powered by two natural gas turbines, 3 megawatts of solar, battery storage, fuel cells, and building efficiency and controls. </w:t>
      </w:r>
    </w:p>
  </w:footnote>
  <w:footnote w:id="92">
    <w:p w14:paraId="16894012" w14:textId="3159E982" w:rsidR="006510E4" w:rsidRPr="00217B8D" w:rsidRDefault="006510E4">
      <w:pPr>
        <w:pStyle w:val="FootnoteText"/>
        <w:rPr>
          <w:rFonts w:cs="Helvetica"/>
          <w:color w:val="1C1C1C"/>
          <w:sz w:val="16"/>
          <w:szCs w:val="16"/>
        </w:rPr>
      </w:pPr>
      <w:r>
        <w:rPr>
          <w:rStyle w:val="FootnoteReference"/>
        </w:rPr>
        <w:footnoteRef/>
      </w:r>
      <w:r>
        <w:t xml:space="preserve"> </w:t>
      </w:r>
      <w:r w:rsidRPr="00635DE9">
        <w:rPr>
          <w:rFonts w:cs="Helvetica"/>
          <w:color w:val="1C1C1C"/>
          <w:sz w:val="16"/>
          <w:szCs w:val="16"/>
        </w:rPr>
        <w:t xml:space="preserve">MCFCs are high-temperature fuel cells that use an </w:t>
      </w:r>
      <w:hyperlink r:id="rId77" w:history="1">
        <w:r w:rsidRPr="00347B86">
          <w:rPr>
            <w:rFonts w:cs="Helvetica"/>
            <w:sz w:val="16"/>
            <w:szCs w:val="16"/>
          </w:rPr>
          <w:t>electrolyte</w:t>
        </w:r>
      </w:hyperlink>
      <w:r w:rsidRPr="00347B86">
        <w:rPr>
          <w:rFonts w:cs="Helvetica"/>
          <w:sz w:val="16"/>
          <w:szCs w:val="16"/>
        </w:rPr>
        <w:t xml:space="preserve"> </w:t>
      </w:r>
      <w:r w:rsidRPr="00635DE9">
        <w:rPr>
          <w:rFonts w:cs="Helvetica"/>
          <w:color w:val="1C1C1C"/>
          <w:sz w:val="16"/>
          <w:szCs w:val="16"/>
        </w:rPr>
        <w:t>composed of a molten carbonate salt mixture</w:t>
      </w:r>
      <w:r>
        <w:rPr>
          <w:rFonts w:cs="Helvetica"/>
          <w:color w:val="1C1C1C"/>
          <w:sz w:val="16"/>
          <w:szCs w:val="16"/>
        </w:rPr>
        <w:t xml:space="preserve"> </w:t>
      </w:r>
      <w:hyperlink r:id="rId78" w:history="1">
        <w:r w:rsidRPr="008C19CB">
          <w:rPr>
            <w:rStyle w:val="Hyperlink"/>
            <w:rFonts w:cs="Helvetica"/>
            <w:sz w:val="16"/>
            <w:szCs w:val="16"/>
          </w:rPr>
          <w:t>http://en.wikipedia.org/wiki/Molten_carbonate_fuel_cell</w:t>
        </w:r>
      </w:hyperlink>
    </w:p>
  </w:footnote>
  <w:footnote w:id="93">
    <w:p w14:paraId="01E429AF" w14:textId="7BDF7344" w:rsidR="006510E4" w:rsidRPr="00217B8D" w:rsidRDefault="006510E4">
      <w:pPr>
        <w:pStyle w:val="FootnoteText"/>
        <w:rPr>
          <w:sz w:val="16"/>
          <w:szCs w:val="16"/>
        </w:rPr>
      </w:pPr>
      <w:r>
        <w:rPr>
          <w:rStyle w:val="FootnoteReference"/>
        </w:rPr>
        <w:footnoteRef/>
      </w:r>
      <w:r>
        <w:t xml:space="preserve"> </w:t>
      </w:r>
      <w:r>
        <w:rPr>
          <w:sz w:val="16"/>
          <w:szCs w:val="16"/>
        </w:rPr>
        <w:t xml:space="preserve">See “A Tour of America’s Fanciest Microgrid.” E&amp;E News, March 13, 2014. </w:t>
      </w:r>
      <w:hyperlink r:id="rId79" w:history="1">
        <w:r w:rsidRPr="008C19CB">
          <w:rPr>
            <w:rStyle w:val="Hyperlink"/>
            <w:sz w:val="16"/>
            <w:szCs w:val="16"/>
          </w:rPr>
          <w:t>http://www.eenews.net/stories/1059996047</w:t>
        </w:r>
      </w:hyperlink>
      <w:r>
        <w:rPr>
          <w:sz w:val="16"/>
          <w:szCs w:val="16"/>
        </w:rPr>
        <w:t xml:space="preserve"> and “UC San Diego Is Building the ‘Motel 6’ of Microgrids.” GreenTechMedia, May 19, 2014. </w:t>
      </w:r>
      <w:hyperlink r:id="rId80" w:history="1">
        <w:r w:rsidRPr="008C19CB">
          <w:rPr>
            <w:rStyle w:val="Hyperlink"/>
            <w:sz w:val="16"/>
            <w:szCs w:val="16"/>
          </w:rPr>
          <w:t>http://www.greentechmedia.com/articles/read/byrom-washom-master-of-the-microgrid</w:t>
        </w:r>
      </w:hyperlink>
    </w:p>
  </w:footnote>
  <w:footnote w:id="94">
    <w:p w14:paraId="0C993FF1" w14:textId="77777777" w:rsidR="006510E4" w:rsidRPr="006075E4" w:rsidRDefault="006510E4" w:rsidP="0035212A">
      <w:pPr>
        <w:pStyle w:val="FootnoteText"/>
        <w:rPr>
          <w:sz w:val="16"/>
          <w:szCs w:val="16"/>
        </w:rPr>
      </w:pPr>
      <w:r>
        <w:rPr>
          <w:rStyle w:val="FootnoteReference"/>
        </w:rPr>
        <w:footnoteRef/>
      </w:r>
      <w:r>
        <w:t xml:space="preserve"> </w:t>
      </w:r>
      <w:r>
        <w:rPr>
          <w:sz w:val="16"/>
          <w:szCs w:val="16"/>
        </w:rPr>
        <w:t xml:space="preserve">“Green Building Facts.”  US Green Building Fact Sheet </w:t>
      </w:r>
      <w:hyperlink r:id="rId81" w:history="1">
        <w:r w:rsidRPr="008C19CB">
          <w:rPr>
            <w:rStyle w:val="Hyperlink"/>
            <w:sz w:val="16"/>
            <w:szCs w:val="16"/>
          </w:rPr>
          <w:t>http://www.usgbc.org/Docs/Archive/General/Docs18693.pdf</w:t>
        </w:r>
      </w:hyperlink>
      <w:r>
        <w:t xml:space="preserve"> </w:t>
      </w:r>
    </w:p>
  </w:footnote>
  <w:footnote w:id="95">
    <w:p w14:paraId="43C0FDA1" w14:textId="5B3DD9FE" w:rsidR="006510E4" w:rsidRDefault="006510E4">
      <w:pPr>
        <w:pStyle w:val="FootnoteText"/>
        <w:rPr>
          <w:sz w:val="16"/>
          <w:szCs w:val="16"/>
        </w:rPr>
      </w:pPr>
      <w:r>
        <w:rPr>
          <w:rStyle w:val="FootnoteReference"/>
        </w:rPr>
        <w:footnoteRef/>
      </w:r>
      <w:r>
        <w:t xml:space="preserve"> </w:t>
      </w:r>
      <w:r>
        <w:rPr>
          <w:sz w:val="16"/>
          <w:szCs w:val="16"/>
        </w:rPr>
        <w:t>US Green Building Fact Sheet</w:t>
      </w:r>
    </w:p>
    <w:p w14:paraId="58A208F1" w14:textId="77777777" w:rsidR="006510E4" w:rsidRPr="006075E4" w:rsidRDefault="006510E4">
      <w:pPr>
        <w:pStyle w:val="FootnoteText"/>
        <w:rPr>
          <w:sz w:val="16"/>
          <w:szCs w:val="16"/>
        </w:rPr>
      </w:pPr>
    </w:p>
  </w:footnote>
  <w:footnote w:id="96">
    <w:p w14:paraId="05C8FBB0" w14:textId="61D387CC" w:rsidR="006510E4" w:rsidRPr="006075E4" w:rsidRDefault="006510E4">
      <w:pPr>
        <w:pStyle w:val="FootnoteText"/>
        <w:rPr>
          <w:sz w:val="16"/>
          <w:szCs w:val="16"/>
        </w:rPr>
      </w:pPr>
      <w:r>
        <w:rPr>
          <w:rStyle w:val="FootnoteReference"/>
        </w:rPr>
        <w:footnoteRef/>
      </w:r>
      <w:r>
        <w:t xml:space="preserve"> </w:t>
      </w:r>
      <w:r>
        <w:rPr>
          <w:sz w:val="16"/>
          <w:szCs w:val="16"/>
        </w:rPr>
        <w:t xml:space="preserve">“Energy Efficiency Retrofits for Commercial and Public Buildings.” Navigant, 1Q 2014. </w:t>
      </w:r>
      <w:hyperlink r:id="rId82" w:history="1">
        <w:r w:rsidRPr="008C19CB">
          <w:rPr>
            <w:rStyle w:val="Hyperlink"/>
            <w:sz w:val="16"/>
            <w:szCs w:val="16"/>
          </w:rPr>
          <w:t>http://www.navigantresearch.com/research/energy-efficiency-retrofits-for-commercial-and-public-buildings</w:t>
        </w:r>
      </w:hyperlink>
    </w:p>
  </w:footnote>
  <w:footnote w:id="97">
    <w:p w14:paraId="7665A516" w14:textId="6BA9D238" w:rsidR="006510E4" w:rsidRPr="0035212A" w:rsidRDefault="006510E4">
      <w:pPr>
        <w:pStyle w:val="FootnoteText"/>
        <w:rPr>
          <w:sz w:val="16"/>
          <w:szCs w:val="16"/>
        </w:rPr>
      </w:pPr>
      <w:r>
        <w:rPr>
          <w:rStyle w:val="FootnoteReference"/>
        </w:rPr>
        <w:footnoteRef/>
      </w:r>
      <w:r>
        <w:t xml:space="preserve"> </w:t>
      </w:r>
      <w:r>
        <w:rPr>
          <w:sz w:val="16"/>
          <w:szCs w:val="16"/>
        </w:rPr>
        <w:t xml:space="preserve">“Net Zero Energy Buildings.” Navigant, 3Q 2014. </w:t>
      </w:r>
      <w:hyperlink r:id="rId83" w:history="1">
        <w:r w:rsidRPr="008C19CB">
          <w:rPr>
            <w:rStyle w:val="Hyperlink"/>
            <w:sz w:val="16"/>
            <w:szCs w:val="16"/>
          </w:rPr>
          <w:t>http://www.navigantresearch.com/research/zero-energy-buildings</w:t>
        </w:r>
      </w:hyperlink>
    </w:p>
  </w:footnote>
  <w:footnote w:id="98">
    <w:p w14:paraId="5E90E950" w14:textId="1028B51B" w:rsidR="006510E4" w:rsidRPr="0035212A" w:rsidRDefault="006510E4">
      <w:pPr>
        <w:pStyle w:val="FootnoteText"/>
        <w:rPr>
          <w:sz w:val="16"/>
          <w:szCs w:val="16"/>
        </w:rPr>
      </w:pPr>
      <w:r>
        <w:rPr>
          <w:rStyle w:val="FootnoteReference"/>
        </w:rPr>
        <w:footnoteRef/>
      </w:r>
      <w:r>
        <w:t xml:space="preserve"> </w:t>
      </w:r>
      <w:r>
        <w:rPr>
          <w:sz w:val="16"/>
          <w:szCs w:val="16"/>
        </w:rPr>
        <w:t xml:space="preserve">“It Takes a Village: Moving Beyond Net-Zero Buildings to Net-Zero Districts and Communities.”  RMI, Winter 2014. </w:t>
      </w:r>
      <w:hyperlink r:id="rId84" w:history="1">
        <w:r w:rsidRPr="008C19CB">
          <w:rPr>
            <w:rStyle w:val="Hyperlink"/>
            <w:sz w:val="16"/>
            <w:szCs w:val="16"/>
          </w:rPr>
          <w:t>http://www.rmi.org/winter_2014_esj_it_takes_a_village</w:t>
        </w:r>
      </w:hyperlink>
    </w:p>
  </w:footnote>
  <w:footnote w:id="99">
    <w:p w14:paraId="208B3FDB" w14:textId="2C2314C9" w:rsidR="006510E4" w:rsidRPr="0035212A" w:rsidRDefault="006510E4">
      <w:pPr>
        <w:pStyle w:val="FootnoteText"/>
        <w:rPr>
          <w:sz w:val="16"/>
          <w:szCs w:val="16"/>
        </w:rPr>
      </w:pPr>
      <w:r>
        <w:rPr>
          <w:rStyle w:val="FootnoteReference"/>
        </w:rPr>
        <w:footnoteRef/>
      </w:r>
      <w:r>
        <w:t xml:space="preserve"> </w:t>
      </w:r>
      <w:r>
        <w:rPr>
          <w:sz w:val="16"/>
          <w:szCs w:val="16"/>
        </w:rPr>
        <w:t xml:space="preserve">RMI, 2014.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BD8"/>
    <w:rsid w:val="00017259"/>
    <w:rsid w:val="00026527"/>
    <w:rsid w:val="00042ED2"/>
    <w:rsid w:val="0005050D"/>
    <w:rsid w:val="00091A2E"/>
    <w:rsid w:val="000A0B63"/>
    <w:rsid w:val="000A6287"/>
    <w:rsid w:val="000C06E4"/>
    <w:rsid w:val="000C1BC6"/>
    <w:rsid w:val="000C43E4"/>
    <w:rsid w:val="000C5334"/>
    <w:rsid w:val="000D4908"/>
    <w:rsid w:val="000E27A2"/>
    <w:rsid w:val="000E6E6F"/>
    <w:rsid w:val="000F4D88"/>
    <w:rsid w:val="000F78AA"/>
    <w:rsid w:val="0010258E"/>
    <w:rsid w:val="00124C38"/>
    <w:rsid w:val="00126997"/>
    <w:rsid w:val="001346EF"/>
    <w:rsid w:val="0015653D"/>
    <w:rsid w:val="00166DA1"/>
    <w:rsid w:val="0017018E"/>
    <w:rsid w:val="0017419B"/>
    <w:rsid w:val="0018154A"/>
    <w:rsid w:val="00185948"/>
    <w:rsid w:val="001D0064"/>
    <w:rsid w:val="001E4418"/>
    <w:rsid w:val="00210789"/>
    <w:rsid w:val="00217B8D"/>
    <w:rsid w:val="00233BD2"/>
    <w:rsid w:val="00267D5C"/>
    <w:rsid w:val="002950DB"/>
    <w:rsid w:val="002A18A2"/>
    <w:rsid w:val="002C0385"/>
    <w:rsid w:val="002C2C0B"/>
    <w:rsid w:val="002D6515"/>
    <w:rsid w:val="002D674A"/>
    <w:rsid w:val="002E5083"/>
    <w:rsid w:val="00300924"/>
    <w:rsid w:val="00301A42"/>
    <w:rsid w:val="00314E5C"/>
    <w:rsid w:val="00315FFB"/>
    <w:rsid w:val="00321BC7"/>
    <w:rsid w:val="00322AB9"/>
    <w:rsid w:val="0033315A"/>
    <w:rsid w:val="0033763F"/>
    <w:rsid w:val="00344BC4"/>
    <w:rsid w:val="00347B86"/>
    <w:rsid w:val="0035212A"/>
    <w:rsid w:val="003665A9"/>
    <w:rsid w:val="00370F74"/>
    <w:rsid w:val="00382F5D"/>
    <w:rsid w:val="0038628F"/>
    <w:rsid w:val="00397CA9"/>
    <w:rsid w:val="003C6D06"/>
    <w:rsid w:val="003D6485"/>
    <w:rsid w:val="003F1BD0"/>
    <w:rsid w:val="00400F4A"/>
    <w:rsid w:val="004151BB"/>
    <w:rsid w:val="00421C9E"/>
    <w:rsid w:val="00430264"/>
    <w:rsid w:val="0044280E"/>
    <w:rsid w:val="00450B9C"/>
    <w:rsid w:val="0047038D"/>
    <w:rsid w:val="0047177D"/>
    <w:rsid w:val="0049487F"/>
    <w:rsid w:val="004A21C3"/>
    <w:rsid w:val="004A5BCB"/>
    <w:rsid w:val="004B7304"/>
    <w:rsid w:val="004C3AA8"/>
    <w:rsid w:val="004C726D"/>
    <w:rsid w:val="004D2308"/>
    <w:rsid w:val="004E5E7D"/>
    <w:rsid w:val="004E635D"/>
    <w:rsid w:val="004E68A8"/>
    <w:rsid w:val="004F5ACB"/>
    <w:rsid w:val="00505370"/>
    <w:rsid w:val="00512785"/>
    <w:rsid w:val="00523442"/>
    <w:rsid w:val="005240FF"/>
    <w:rsid w:val="0053214D"/>
    <w:rsid w:val="00536D94"/>
    <w:rsid w:val="00546C46"/>
    <w:rsid w:val="00566374"/>
    <w:rsid w:val="005672A4"/>
    <w:rsid w:val="00571E50"/>
    <w:rsid w:val="0058169F"/>
    <w:rsid w:val="00587A1E"/>
    <w:rsid w:val="005B69F3"/>
    <w:rsid w:val="005B6EAA"/>
    <w:rsid w:val="005C12E1"/>
    <w:rsid w:val="005C3DF9"/>
    <w:rsid w:val="005D220B"/>
    <w:rsid w:val="005D3CE8"/>
    <w:rsid w:val="005E1AA6"/>
    <w:rsid w:val="005E376A"/>
    <w:rsid w:val="005F0C6D"/>
    <w:rsid w:val="005F2F7B"/>
    <w:rsid w:val="006075E4"/>
    <w:rsid w:val="0061369B"/>
    <w:rsid w:val="006335FE"/>
    <w:rsid w:val="00635DE9"/>
    <w:rsid w:val="00640E2D"/>
    <w:rsid w:val="0064291F"/>
    <w:rsid w:val="00643825"/>
    <w:rsid w:val="006510E4"/>
    <w:rsid w:val="006545C9"/>
    <w:rsid w:val="0066718A"/>
    <w:rsid w:val="00676B39"/>
    <w:rsid w:val="00682AAE"/>
    <w:rsid w:val="006937EB"/>
    <w:rsid w:val="006C458F"/>
    <w:rsid w:val="006D7827"/>
    <w:rsid w:val="006E31DD"/>
    <w:rsid w:val="006E79EC"/>
    <w:rsid w:val="006F4265"/>
    <w:rsid w:val="007143CD"/>
    <w:rsid w:val="00714CD1"/>
    <w:rsid w:val="00716FE9"/>
    <w:rsid w:val="007170BE"/>
    <w:rsid w:val="007275E2"/>
    <w:rsid w:val="00730174"/>
    <w:rsid w:val="00732875"/>
    <w:rsid w:val="00736B5F"/>
    <w:rsid w:val="00741654"/>
    <w:rsid w:val="007429A5"/>
    <w:rsid w:val="007451F0"/>
    <w:rsid w:val="00753BC8"/>
    <w:rsid w:val="00762DA3"/>
    <w:rsid w:val="0076662A"/>
    <w:rsid w:val="0077317F"/>
    <w:rsid w:val="00773934"/>
    <w:rsid w:val="00785FA4"/>
    <w:rsid w:val="00790345"/>
    <w:rsid w:val="007A1E39"/>
    <w:rsid w:val="007A7DE1"/>
    <w:rsid w:val="007D47C7"/>
    <w:rsid w:val="007D4B3E"/>
    <w:rsid w:val="007F0606"/>
    <w:rsid w:val="007F2F3D"/>
    <w:rsid w:val="007F7D4A"/>
    <w:rsid w:val="008015DE"/>
    <w:rsid w:val="00803183"/>
    <w:rsid w:val="00812419"/>
    <w:rsid w:val="00815178"/>
    <w:rsid w:val="0083192F"/>
    <w:rsid w:val="00831CB6"/>
    <w:rsid w:val="00834C53"/>
    <w:rsid w:val="00840BD4"/>
    <w:rsid w:val="00861F89"/>
    <w:rsid w:val="00870833"/>
    <w:rsid w:val="008A1DBC"/>
    <w:rsid w:val="008A3EE7"/>
    <w:rsid w:val="008B6DED"/>
    <w:rsid w:val="008C05A6"/>
    <w:rsid w:val="008C07DF"/>
    <w:rsid w:val="008D1FE1"/>
    <w:rsid w:val="008D3198"/>
    <w:rsid w:val="008D7061"/>
    <w:rsid w:val="008E6B44"/>
    <w:rsid w:val="008E738B"/>
    <w:rsid w:val="008F1078"/>
    <w:rsid w:val="008F6292"/>
    <w:rsid w:val="008F7E07"/>
    <w:rsid w:val="00900C6A"/>
    <w:rsid w:val="0092744D"/>
    <w:rsid w:val="0094589A"/>
    <w:rsid w:val="0095041F"/>
    <w:rsid w:val="00955755"/>
    <w:rsid w:val="009638B2"/>
    <w:rsid w:val="00971005"/>
    <w:rsid w:val="00974AD5"/>
    <w:rsid w:val="00974B05"/>
    <w:rsid w:val="00983587"/>
    <w:rsid w:val="009A2996"/>
    <w:rsid w:val="009A7D50"/>
    <w:rsid w:val="009B5C74"/>
    <w:rsid w:val="009D20F8"/>
    <w:rsid w:val="009E7367"/>
    <w:rsid w:val="009F57C4"/>
    <w:rsid w:val="00A221BD"/>
    <w:rsid w:val="00A22410"/>
    <w:rsid w:val="00A46A2F"/>
    <w:rsid w:val="00A51891"/>
    <w:rsid w:val="00A546DC"/>
    <w:rsid w:val="00A54E99"/>
    <w:rsid w:val="00A729DD"/>
    <w:rsid w:val="00A77C18"/>
    <w:rsid w:val="00A81C59"/>
    <w:rsid w:val="00A92C27"/>
    <w:rsid w:val="00AA0C55"/>
    <w:rsid w:val="00AA6A8F"/>
    <w:rsid w:val="00AB635A"/>
    <w:rsid w:val="00AB6BB8"/>
    <w:rsid w:val="00AC40A1"/>
    <w:rsid w:val="00AC73E6"/>
    <w:rsid w:val="00AD1B12"/>
    <w:rsid w:val="00AD74A8"/>
    <w:rsid w:val="00AF1029"/>
    <w:rsid w:val="00AF143B"/>
    <w:rsid w:val="00B0232B"/>
    <w:rsid w:val="00B44BD8"/>
    <w:rsid w:val="00B45934"/>
    <w:rsid w:val="00B52C7D"/>
    <w:rsid w:val="00B72174"/>
    <w:rsid w:val="00B81943"/>
    <w:rsid w:val="00B81F29"/>
    <w:rsid w:val="00B86981"/>
    <w:rsid w:val="00BA065D"/>
    <w:rsid w:val="00BB7FD0"/>
    <w:rsid w:val="00BF6E71"/>
    <w:rsid w:val="00C216F1"/>
    <w:rsid w:val="00C272E7"/>
    <w:rsid w:val="00C32F68"/>
    <w:rsid w:val="00C4518F"/>
    <w:rsid w:val="00C8237C"/>
    <w:rsid w:val="00C85075"/>
    <w:rsid w:val="00C86572"/>
    <w:rsid w:val="00CA612F"/>
    <w:rsid w:val="00CB0CDF"/>
    <w:rsid w:val="00CB24D2"/>
    <w:rsid w:val="00CB3BB1"/>
    <w:rsid w:val="00CD7E2D"/>
    <w:rsid w:val="00CE4263"/>
    <w:rsid w:val="00CE600C"/>
    <w:rsid w:val="00D066E2"/>
    <w:rsid w:val="00D10A9A"/>
    <w:rsid w:val="00D16161"/>
    <w:rsid w:val="00D17C88"/>
    <w:rsid w:val="00D225C8"/>
    <w:rsid w:val="00D274CE"/>
    <w:rsid w:val="00D47A57"/>
    <w:rsid w:val="00D530AE"/>
    <w:rsid w:val="00D755FB"/>
    <w:rsid w:val="00D75BD4"/>
    <w:rsid w:val="00D75CB2"/>
    <w:rsid w:val="00D806C0"/>
    <w:rsid w:val="00D93A69"/>
    <w:rsid w:val="00DA32E5"/>
    <w:rsid w:val="00DA4E0B"/>
    <w:rsid w:val="00DB67E9"/>
    <w:rsid w:val="00DC32B6"/>
    <w:rsid w:val="00DE6C46"/>
    <w:rsid w:val="00DF16F8"/>
    <w:rsid w:val="00DF18FE"/>
    <w:rsid w:val="00DF7257"/>
    <w:rsid w:val="00E004E1"/>
    <w:rsid w:val="00E04420"/>
    <w:rsid w:val="00E05307"/>
    <w:rsid w:val="00E06DEC"/>
    <w:rsid w:val="00E163A5"/>
    <w:rsid w:val="00E31A0B"/>
    <w:rsid w:val="00E34941"/>
    <w:rsid w:val="00E46297"/>
    <w:rsid w:val="00E50BA3"/>
    <w:rsid w:val="00E51C61"/>
    <w:rsid w:val="00E60D20"/>
    <w:rsid w:val="00E64073"/>
    <w:rsid w:val="00E64223"/>
    <w:rsid w:val="00E66DCA"/>
    <w:rsid w:val="00E956BF"/>
    <w:rsid w:val="00E96662"/>
    <w:rsid w:val="00EC0BBA"/>
    <w:rsid w:val="00EC3881"/>
    <w:rsid w:val="00EC3EAA"/>
    <w:rsid w:val="00ED187A"/>
    <w:rsid w:val="00ED2F6A"/>
    <w:rsid w:val="00EF2A3B"/>
    <w:rsid w:val="00EF54AD"/>
    <w:rsid w:val="00F0231C"/>
    <w:rsid w:val="00F31E53"/>
    <w:rsid w:val="00F45231"/>
    <w:rsid w:val="00F6631D"/>
    <w:rsid w:val="00F8393A"/>
    <w:rsid w:val="00F91BAE"/>
    <w:rsid w:val="00F95C1D"/>
    <w:rsid w:val="00FB2381"/>
    <w:rsid w:val="00FE4B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F50024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36B5F"/>
    <w:pPr>
      <w:tabs>
        <w:tab w:val="center" w:pos="4320"/>
        <w:tab w:val="right" w:pos="8640"/>
      </w:tabs>
    </w:pPr>
  </w:style>
  <w:style w:type="character" w:customStyle="1" w:styleId="FooterChar">
    <w:name w:val="Footer Char"/>
    <w:basedOn w:val="DefaultParagraphFont"/>
    <w:link w:val="Footer"/>
    <w:uiPriority w:val="99"/>
    <w:rsid w:val="00736B5F"/>
  </w:style>
  <w:style w:type="character" w:styleId="PageNumber">
    <w:name w:val="page number"/>
    <w:basedOn w:val="DefaultParagraphFont"/>
    <w:uiPriority w:val="99"/>
    <w:semiHidden/>
    <w:unhideWhenUsed/>
    <w:rsid w:val="00736B5F"/>
  </w:style>
  <w:style w:type="paragraph" w:styleId="FootnoteText">
    <w:name w:val="footnote text"/>
    <w:basedOn w:val="Normal"/>
    <w:link w:val="FootnoteTextChar"/>
    <w:uiPriority w:val="99"/>
    <w:unhideWhenUsed/>
    <w:rsid w:val="00ED2F6A"/>
  </w:style>
  <w:style w:type="character" w:customStyle="1" w:styleId="FootnoteTextChar">
    <w:name w:val="Footnote Text Char"/>
    <w:basedOn w:val="DefaultParagraphFont"/>
    <w:link w:val="FootnoteText"/>
    <w:uiPriority w:val="99"/>
    <w:rsid w:val="00ED2F6A"/>
  </w:style>
  <w:style w:type="character" w:styleId="FootnoteReference">
    <w:name w:val="footnote reference"/>
    <w:basedOn w:val="DefaultParagraphFont"/>
    <w:uiPriority w:val="99"/>
    <w:unhideWhenUsed/>
    <w:rsid w:val="00ED2F6A"/>
    <w:rPr>
      <w:vertAlign w:val="superscript"/>
    </w:rPr>
  </w:style>
  <w:style w:type="character" w:styleId="Hyperlink">
    <w:name w:val="Hyperlink"/>
    <w:basedOn w:val="DefaultParagraphFont"/>
    <w:uiPriority w:val="99"/>
    <w:unhideWhenUsed/>
    <w:rsid w:val="00ED2F6A"/>
    <w:rPr>
      <w:color w:val="0000FF" w:themeColor="hyperlink"/>
      <w:u w:val="single"/>
    </w:rPr>
  </w:style>
  <w:style w:type="character" w:styleId="FollowedHyperlink">
    <w:name w:val="FollowedHyperlink"/>
    <w:basedOn w:val="DefaultParagraphFont"/>
    <w:uiPriority w:val="99"/>
    <w:semiHidden/>
    <w:unhideWhenUsed/>
    <w:rsid w:val="00ED2F6A"/>
    <w:rPr>
      <w:color w:val="800080" w:themeColor="followedHyperlink"/>
      <w:u w:val="single"/>
    </w:rPr>
  </w:style>
  <w:style w:type="paragraph" w:styleId="BalloonText">
    <w:name w:val="Balloon Text"/>
    <w:basedOn w:val="Normal"/>
    <w:link w:val="BalloonTextChar"/>
    <w:uiPriority w:val="99"/>
    <w:semiHidden/>
    <w:unhideWhenUsed/>
    <w:rsid w:val="00536D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6D94"/>
    <w:rPr>
      <w:rFonts w:ascii="Lucida Grande" w:hAnsi="Lucida Grande" w:cs="Lucida Grande"/>
      <w:sz w:val="18"/>
      <w:szCs w:val="18"/>
    </w:rPr>
  </w:style>
  <w:style w:type="character" w:styleId="CommentReference">
    <w:name w:val="annotation reference"/>
    <w:basedOn w:val="DefaultParagraphFont"/>
    <w:uiPriority w:val="99"/>
    <w:semiHidden/>
    <w:unhideWhenUsed/>
    <w:rsid w:val="00F91BAE"/>
    <w:rPr>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36B5F"/>
    <w:pPr>
      <w:tabs>
        <w:tab w:val="center" w:pos="4320"/>
        <w:tab w:val="right" w:pos="8640"/>
      </w:tabs>
    </w:pPr>
  </w:style>
  <w:style w:type="character" w:customStyle="1" w:styleId="FooterChar">
    <w:name w:val="Footer Char"/>
    <w:basedOn w:val="DefaultParagraphFont"/>
    <w:link w:val="Footer"/>
    <w:uiPriority w:val="99"/>
    <w:rsid w:val="00736B5F"/>
  </w:style>
  <w:style w:type="character" w:styleId="PageNumber">
    <w:name w:val="page number"/>
    <w:basedOn w:val="DefaultParagraphFont"/>
    <w:uiPriority w:val="99"/>
    <w:semiHidden/>
    <w:unhideWhenUsed/>
    <w:rsid w:val="00736B5F"/>
  </w:style>
  <w:style w:type="paragraph" w:styleId="FootnoteText">
    <w:name w:val="footnote text"/>
    <w:basedOn w:val="Normal"/>
    <w:link w:val="FootnoteTextChar"/>
    <w:uiPriority w:val="99"/>
    <w:unhideWhenUsed/>
    <w:rsid w:val="00ED2F6A"/>
  </w:style>
  <w:style w:type="character" w:customStyle="1" w:styleId="FootnoteTextChar">
    <w:name w:val="Footnote Text Char"/>
    <w:basedOn w:val="DefaultParagraphFont"/>
    <w:link w:val="FootnoteText"/>
    <w:uiPriority w:val="99"/>
    <w:rsid w:val="00ED2F6A"/>
  </w:style>
  <w:style w:type="character" w:styleId="FootnoteReference">
    <w:name w:val="footnote reference"/>
    <w:basedOn w:val="DefaultParagraphFont"/>
    <w:uiPriority w:val="99"/>
    <w:unhideWhenUsed/>
    <w:rsid w:val="00ED2F6A"/>
    <w:rPr>
      <w:vertAlign w:val="superscript"/>
    </w:rPr>
  </w:style>
  <w:style w:type="character" w:styleId="Hyperlink">
    <w:name w:val="Hyperlink"/>
    <w:basedOn w:val="DefaultParagraphFont"/>
    <w:uiPriority w:val="99"/>
    <w:unhideWhenUsed/>
    <w:rsid w:val="00ED2F6A"/>
    <w:rPr>
      <w:color w:val="0000FF" w:themeColor="hyperlink"/>
      <w:u w:val="single"/>
    </w:rPr>
  </w:style>
  <w:style w:type="character" w:styleId="FollowedHyperlink">
    <w:name w:val="FollowedHyperlink"/>
    <w:basedOn w:val="DefaultParagraphFont"/>
    <w:uiPriority w:val="99"/>
    <w:semiHidden/>
    <w:unhideWhenUsed/>
    <w:rsid w:val="00ED2F6A"/>
    <w:rPr>
      <w:color w:val="800080" w:themeColor="followedHyperlink"/>
      <w:u w:val="single"/>
    </w:rPr>
  </w:style>
  <w:style w:type="paragraph" w:styleId="BalloonText">
    <w:name w:val="Balloon Text"/>
    <w:basedOn w:val="Normal"/>
    <w:link w:val="BalloonTextChar"/>
    <w:uiPriority w:val="99"/>
    <w:semiHidden/>
    <w:unhideWhenUsed/>
    <w:rsid w:val="00536D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6D94"/>
    <w:rPr>
      <w:rFonts w:ascii="Lucida Grande" w:hAnsi="Lucida Grande" w:cs="Lucida Grande"/>
      <w:sz w:val="18"/>
      <w:szCs w:val="18"/>
    </w:rPr>
  </w:style>
  <w:style w:type="character" w:styleId="CommentReference">
    <w:name w:val="annotation reference"/>
    <w:basedOn w:val="DefaultParagraphFont"/>
    <w:uiPriority w:val="99"/>
    <w:semiHidden/>
    <w:unhideWhenUsed/>
    <w:rsid w:val="00F91BA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pn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footer" Target="footer1.xml"/><Relationship Id="rId9" Type="http://schemas.openxmlformats.org/officeDocument/2006/relationships/image" Target="media/image2.jpe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bls.gov/cew/data.htm" TargetMode="External"/><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hyperlink" Target="http://www.juancole.com/images/2014/12/Screen-Shot-2014-12-06-at-1.16.13-AM.png" TargetMode="External"/><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png"/><Relationship Id="rId19" Type="http://schemas.openxmlformats.org/officeDocument/2006/relationships/image" Target="media/image11.jpeg"/></Relationships>
</file>

<file path=word/_rels/footnotes.xml.rels><?xml version="1.0" encoding="UTF-8" standalone="yes"?>
<Relationships xmlns="http://schemas.openxmlformats.org/package/2006/relationships"><Relationship Id="rId13" Type="http://schemas.openxmlformats.org/officeDocument/2006/relationships/hyperlink" Target="http://www.solarserver.com/solar-magazine/solar-news/current/2015/kw03/deutsche-bank-anticipates-2015-global-solar-pv-demand-at-54-gw.html" TargetMode="External"/><Relationship Id="rId14" Type="http://schemas.openxmlformats.org/officeDocument/2006/relationships/hyperlink" Target="http://www.energypost.eu/ubs-citigroup-warn-investors-massive-revolution-energy-industry/" TargetMode="External"/><Relationship Id="rId15" Type="http://schemas.openxmlformats.org/officeDocument/2006/relationships/hyperlink" Target="http://thinkprogress.org/climate/2014/12/08/3600599/record-high-solar-conversion-efficiency/" TargetMode="External"/><Relationship Id="rId16" Type="http://schemas.openxmlformats.org/officeDocument/2006/relationships/hyperlink" Target="http://thinkprogress.org/climate/2014/12/08/3600599/record-high-solar-conversion-efficiency/" TargetMode="External"/><Relationship Id="rId17" Type="http://schemas.openxmlformats.org/officeDocument/2006/relationships/hyperlink" Target="http://www.iflscience.com/technology/hybrid-material-may-help-crush-solar-cell-efficiency-record" TargetMode="External"/><Relationship Id="rId18" Type="http://schemas.openxmlformats.org/officeDocument/2006/relationships/hyperlink" Target="http://www.sciencedaily.com/releases/2014/11/141110110424.htm" TargetMode="External"/><Relationship Id="rId19" Type="http://schemas.openxmlformats.org/officeDocument/2006/relationships/hyperlink" Target="http://news.engineering.utoronto.ca/new-technique-offers-spray-on-solar-power/" TargetMode="External"/><Relationship Id="rId63" Type="http://schemas.openxmlformats.org/officeDocument/2006/relationships/hyperlink" Target="http://energy.gov/articles/energy-department-invests-over-7-million-commercialize-cost-effective-hydrogen-and-fuel?__utma=1.492133890.1394232753.1394232753.1394232753.1&amp;__utmb=1.1.10.1394232753&amp;__utmc=1&amp;__utmx=-&amp;__utmz=1.1394232753.1.1.utmcsr=google|utmccn=%28organic%29|utmcmd=organic|utmctr=%28not%20provided%29&amp;__utmv=-&amp;__utmk=190458283" TargetMode="External"/><Relationship Id="rId64" Type="http://schemas.openxmlformats.org/officeDocument/2006/relationships/hyperlink" Target="http://www.grandviewresearch.com/industry-analysis/fuel-cell-market" TargetMode="External"/><Relationship Id="rId65" Type="http://schemas.openxmlformats.org/officeDocument/2006/relationships/hyperlink" Target="http://energy.gov/sites/prod/files/2014/12/f19/fcto_state_of_states_2014_1.pdf" TargetMode="External"/><Relationship Id="rId66" Type="http://schemas.openxmlformats.org/officeDocument/2006/relationships/hyperlink" Target="http://www.cospp.com/articles/2013/07/fuel-cells-overtake-engines-in-micro-chp-scene.html" TargetMode="External"/><Relationship Id="rId67" Type="http://schemas.openxmlformats.org/officeDocument/2006/relationships/hyperlink" Target="http://www.navigantresearch.com/research/stationary-fuel-cells" TargetMode="External"/><Relationship Id="rId68" Type="http://schemas.openxmlformats.org/officeDocument/2006/relationships/hyperlink" Target="http://energy.gov/eere/articles/first-commercially-available-fuel-cell-electric-vehicles-hit-street" TargetMode="External"/><Relationship Id="rId69" Type="http://schemas.openxmlformats.org/officeDocument/2006/relationships/hyperlink" Target="http://www.bloomberg.com/news/2014-06-04/clean-hydrogen-advances-amid-fuel-cell-technology-gains.html" TargetMode="External"/><Relationship Id="rId50" Type="http://schemas.openxmlformats.org/officeDocument/2006/relationships/hyperlink" Target="http://www.bloomberg.com/news/2014-08-05/beacon-sees-demand-doubling-for-energy-storage-flywheels.html" TargetMode="External"/><Relationship Id="rId51" Type="http://schemas.openxmlformats.org/officeDocument/2006/relationships/hyperlink" Target="http://www.greentechmedia.com/articles/read/byrom-washom-master-of-the-microgrid" TargetMode="External"/><Relationship Id="rId52" Type="http://schemas.openxmlformats.org/officeDocument/2006/relationships/hyperlink" Target="http://www.navigantresearch.com/newsroom/next-generation-advanced-batteries-will-reach-9-4-billion-in-annual-revenue-by-2023" TargetMode="External"/><Relationship Id="rId53" Type="http://schemas.openxmlformats.org/officeDocument/2006/relationships/hyperlink" Target="http://forschung-energiespeicher.info/projektschau/gesamtliste/projekt-einzelansicht/95/Kugelpumpspeicher_unter_Wasser/" TargetMode="External"/><Relationship Id="rId54" Type="http://schemas.openxmlformats.org/officeDocument/2006/relationships/hyperlink" Target="http://www1.eere.energy.gov/water//pdfs/mappingandassessment.pdf" TargetMode="External"/><Relationship Id="rId55" Type="http://schemas.openxmlformats.org/officeDocument/2006/relationships/hyperlink" Target="http://www.greenbiz.com/blog/2014/05/14/why-wave-power-energy-has-lagged-far-behind" TargetMode="External"/><Relationship Id="rId56" Type="http://schemas.openxmlformats.org/officeDocument/2006/relationships/hyperlink" Target="http://www.pelamiswave.com/pelamis-technology" TargetMode="External"/><Relationship Id="rId57" Type="http://schemas.openxmlformats.org/officeDocument/2006/relationships/hyperlink" Target="http://www.pelamiswave.com/news/news/127/Pelamis-selected-for-1.4m-ETI-wave-power-project" TargetMode="External"/><Relationship Id="rId58" Type="http://schemas.openxmlformats.org/officeDocument/2006/relationships/hyperlink" Target="http://www.pelamiswave.com/news/news/173/Pelamis-Wave-Power-Limited-Pelamis-to-be-put-into-administration" TargetMode="External"/><Relationship Id="rId59" Type="http://schemas.openxmlformats.org/officeDocument/2006/relationships/hyperlink" Target="http://en.wikipedia.org/wiki/CETO" TargetMode="External"/><Relationship Id="rId40" Type="http://schemas.openxmlformats.org/officeDocument/2006/relationships/hyperlink" Target="http://www.greentechmedia.com/articles/read/the-top-10-energy-storage-stories-of-2014" TargetMode="External"/><Relationship Id="rId41" Type="http://schemas.openxmlformats.org/officeDocument/2006/relationships/hyperlink" Target="http://themindunleashed.org/2014/09/move-tesla-new-car-powered-salt-water-900-horsepower.html" TargetMode="External"/><Relationship Id="rId42" Type="http://schemas.openxmlformats.org/officeDocument/2006/relationships/hyperlink" Target="http://en.wikipedia.org/wiki/Sodium-ion_battery" TargetMode="External"/><Relationship Id="rId43" Type="http://schemas.openxmlformats.org/officeDocument/2006/relationships/hyperlink" Target="http://www.nature.com/news/liquid-metal-batteries-get-boost-from-molten-lead-1.15967" TargetMode="External"/><Relationship Id="rId44" Type="http://schemas.openxmlformats.org/officeDocument/2006/relationships/hyperlink" Target="http://www.utilitydive.com/news/eos-battery-storage-will-be-cost-competitive-in-18-months/207750/" TargetMode="External"/><Relationship Id="rId45" Type="http://schemas.openxmlformats.org/officeDocument/2006/relationships/hyperlink" Target="http://www.eosenergystorage.com/technology-and-products/" TargetMode="External"/><Relationship Id="rId46" Type="http://schemas.openxmlformats.org/officeDocument/2006/relationships/hyperlink" Target="http://www.nanalyze.com/2014/07/sustainx-delivers-compressed-air-energy-storage-system/" TargetMode="External"/><Relationship Id="rId47" Type="http://schemas.openxmlformats.org/officeDocument/2006/relationships/hyperlink" Target="https://www.smartgrid.gov/sites/default/files/doc/files/20140717%20-%20SustainX%20DOE%20Smart%20Grid%20TRP%20Interim.pdf" TargetMode="External"/><Relationship Id="rId48" Type="http://schemas.openxmlformats.org/officeDocument/2006/relationships/hyperlink" Target="http://beaconpower.com/carbon-fiber-flywheels/" TargetMode="External"/><Relationship Id="rId49" Type="http://schemas.openxmlformats.org/officeDocument/2006/relationships/hyperlink" Target="http://www.slate.com/articles/business/the_juice/2014/08/beacon_power_the_department_of_energy_loan_recipient_is_making_a_comeback.html" TargetMode="External"/><Relationship Id="rId1" Type="http://schemas.openxmlformats.org/officeDocument/2006/relationships/hyperlink" Target="http://thinkprogress.org/climate/2015/01/09/3609869/renewable-energy-investment-surges/" TargetMode="External"/><Relationship Id="rId2" Type="http://schemas.openxmlformats.org/officeDocument/2006/relationships/hyperlink" Target="http://about.bnef.com/presentations/clean-energy-investment-q4-2014-fact-pack/content/uploads/sites/4/2015/01/Q4-investment-fact-pack.pdf" TargetMode="External"/><Relationship Id="rId3" Type="http://schemas.openxmlformats.org/officeDocument/2006/relationships/hyperlink" Target="http://www.truthdig.com/report/item/solar_power_in_us_doubled_2014_other_good_clean_energy_news_20141206/" TargetMode="External"/><Relationship Id="rId4" Type="http://schemas.openxmlformats.org/officeDocument/2006/relationships/hyperlink" Target="http://www.nawindpower.com/e107_plugins/content/content.php?content.13786" TargetMode="External"/><Relationship Id="rId5" Type="http://schemas.openxmlformats.org/officeDocument/2006/relationships/hyperlink" Target="http://www.eia.gov/todayinenergy/detail.cfm?id=19271" TargetMode="External"/><Relationship Id="rId6" Type="http://schemas.openxmlformats.org/officeDocument/2006/relationships/hyperlink" Target="http://seekingalpha.com/article/2718155-solar-energys-future-is-shining-but-is-first-solar-still-competitive-the-algorithmic-perspective" TargetMode="External"/><Relationship Id="rId7" Type="http://schemas.openxmlformats.org/officeDocument/2006/relationships/hyperlink" Target="http://www.nytimes.com/2014/11/24/business/energy-environment/solar-and-wind-energy-start-to-win-on-price-vs-conventional-fuels.html?_r=1" TargetMode="External"/><Relationship Id="rId8" Type="http://schemas.openxmlformats.org/officeDocument/2006/relationships/hyperlink" Target="http://www.forbes.com/sites/chipregister1/2014/09/11/solar-continues-trumping-fossil-fuel-pricing-with-more-innovations-to-come/" TargetMode="External"/><Relationship Id="rId9" Type="http://schemas.openxmlformats.org/officeDocument/2006/relationships/hyperlink" Target="http://fuelfix.com/blog/2014/12/08/report-energy-efficiency-could-cost-u-s-utilities-48-billion/" TargetMode="External"/><Relationship Id="rId30" Type="http://schemas.openxmlformats.org/officeDocument/2006/relationships/hyperlink" Target="http://bocorockwindfarm.com.au/milestones" TargetMode="External"/><Relationship Id="rId31" Type="http://schemas.openxmlformats.org/officeDocument/2006/relationships/hyperlink" Target="http://www.eco-business.com/press-releases/torque-wind-turbine-is-the-worlds-most-advanced-small-wind-turbine/" TargetMode="External"/><Relationship Id="rId32" Type="http://schemas.openxmlformats.org/officeDocument/2006/relationships/hyperlink" Target="http://variablegen.org/wp-content/uploads/2014/07/pris-executive-summary.pdf" TargetMode="External"/><Relationship Id="rId33" Type="http://schemas.openxmlformats.org/officeDocument/2006/relationships/hyperlink" Target="http://www.energystorageexchange.org/projects" TargetMode="External"/><Relationship Id="rId34" Type="http://schemas.openxmlformats.org/officeDocument/2006/relationships/hyperlink" Target="http://www.csmonitor.com/World/Making-a-difference/Change-Agent/2014/1031/Innovations-in-storage-boost-renewable-energy" TargetMode="External"/><Relationship Id="rId35" Type="http://schemas.openxmlformats.org/officeDocument/2006/relationships/hyperlink" Target="http://www.navigantresearch.com/research/energy-storage-for-the-grid-and-ancillary-services" TargetMode="External"/><Relationship Id="rId36" Type="http://schemas.openxmlformats.org/officeDocument/2006/relationships/hyperlink" Target="http://www.utilitydive.com/news/is-battery-storage-the-next-solar/316875/" TargetMode="External"/><Relationship Id="rId37" Type="http://schemas.openxmlformats.org/officeDocument/2006/relationships/hyperlink" Target="http://www.navigantresearch.com/research/community-residential-and-commercial-energy-storage" TargetMode="External"/><Relationship Id="rId38" Type="http://schemas.openxmlformats.org/officeDocument/2006/relationships/hyperlink" Target="http://cleantechnica.com/2013/12/18/utility-scale-battery-storage-costs-dropping/" TargetMode="External"/><Relationship Id="rId39" Type="http://schemas.openxmlformats.org/officeDocument/2006/relationships/hyperlink" Target="http://www.utilitydive.com/news/where-the-energy-storage-expansion-will-happen-first-and-why/346265/" TargetMode="External"/><Relationship Id="rId80" Type="http://schemas.openxmlformats.org/officeDocument/2006/relationships/hyperlink" Target="http://www.greentechmedia.com/articles/read/byrom-washom-master-of-the-microgrid" TargetMode="External"/><Relationship Id="rId81" Type="http://schemas.openxmlformats.org/officeDocument/2006/relationships/hyperlink" Target="http://www.usgbc.org/Docs/Archive/General/Docs18693.pdf" TargetMode="External"/><Relationship Id="rId82" Type="http://schemas.openxmlformats.org/officeDocument/2006/relationships/hyperlink" Target="http://www.navigantresearch.com/research/energy-efficiency-retrofits-for-commercial-and-public-buildings" TargetMode="External"/><Relationship Id="rId83" Type="http://schemas.openxmlformats.org/officeDocument/2006/relationships/hyperlink" Target="http://www.navigantresearch.com/research/zero-energy-buildings" TargetMode="External"/><Relationship Id="rId84" Type="http://schemas.openxmlformats.org/officeDocument/2006/relationships/hyperlink" Target="http://www.rmi.org/winter_2014_esj_it_takes_a_village" TargetMode="External"/><Relationship Id="rId70" Type="http://schemas.openxmlformats.org/officeDocument/2006/relationships/hyperlink" Target="http://www.greenbiz.com/blog/2014/07/07/power-microgrids-unfolding-now" TargetMode="External"/><Relationship Id="rId71" Type="http://schemas.openxmlformats.org/officeDocument/2006/relationships/hyperlink" Target="http://www.greentechmedia.com/articles/read/US-Microgrid-Capacity-Will-Exceed-1.8-GW-by-2018" TargetMode="External"/><Relationship Id="rId72" Type="http://schemas.openxmlformats.org/officeDocument/2006/relationships/hyperlink" Target="http://www.greentechmedia.com/research/report/north-american-microgrids-2014" TargetMode="External"/><Relationship Id="rId20" Type="http://schemas.openxmlformats.org/officeDocument/2006/relationships/hyperlink" Target="https://www.indiegogo.com/projects/solar-roadway" TargetMode="External"/><Relationship Id="rId21" Type="http://schemas.openxmlformats.org/officeDocument/2006/relationships/hyperlink" Target="http://cleantechnica.com/2014/03/27/see-through-solar-windows-go-big/" TargetMode="External"/><Relationship Id="rId22" Type="http://schemas.openxmlformats.org/officeDocument/2006/relationships/hyperlink" Target="http://www.truthdig.com/report/item/solar_power_in_us_doubled_2014_other_good_clean_energy_news_20141206/" TargetMode="External"/><Relationship Id="rId23" Type="http://schemas.openxmlformats.org/officeDocument/2006/relationships/hyperlink" Target="http://awea.files.cms-plus.com/FileDownloads/pdfs/3Q2014%20AWEA%20Market%20Report%20Public%20Version.pdf" TargetMode="External"/><Relationship Id="rId24" Type="http://schemas.openxmlformats.org/officeDocument/2006/relationships/hyperlink" Target="http://www.boem.gov/renewable-energy-program/renewable-energy-guide/offshore-wind-energy.aspx" TargetMode="External"/><Relationship Id="rId25" Type="http://schemas.openxmlformats.org/officeDocument/2006/relationships/hyperlink" Target="http://cleantechnica.com/2014/04/15/global-wind-power-capacity-projected-nearly-double-5-years-charts/" TargetMode="External"/><Relationship Id="rId26" Type="http://schemas.openxmlformats.org/officeDocument/2006/relationships/hyperlink" Target="http://www.prnewswire.com/news-releases/wind-turbine-rotor-blade-market-worth-16982-million-by-2019-285470111.html" TargetMode="External"/><Relationship Id="rId27" Type="http://schemas.openxmlformats.org/officeDocument/2006/relationships/hyperlink" Target="http://www.power-eng.com/articles/print/volume-118/issue-3/features/advancements-in-wind-turbine-technology-improving-efficiency-and-reducing-cost.html" TargetMode="External"/><Relationship Id="rId28" Type="http://schemas.openxmlformats.org/officeDocument/2006/relationships/hyperlink" Target="http://www.renewableenergyworld.com/rea/news/article/2014/07/whats-new-in-wind-technology" TargetMode="External"/><Relationship Id="rId29" Type="http://schemas.openxmlformats.org/officeDocument/2006/relationships/hyperlink" Target="http://www.bloomberg.com/news/2014-10-17/mhi-vestas-says-wind-turbine-sets-generation-record.html" TargetMode="External"/><Relationship Id="rId73" Type="http://schemas.openxmlformats.org/officeDocument/2006/relationships/hyperlink" Target="http://www.navigantresearch.com/newsroom/investment-in-microgrid-enabling-technologies-is-expected-to-exceed-155-billion-through-2023" TargetMode="External"/><Relationship Id="rId74" Type="http://schemas.openxmlformats.org/officeDocument/2006/relationships/hyperlink" Target="http://www.utilitydive.com/news/study-utility-microgrid-annual-revenue-to-reach-6b-by-2023/346896/" TargetMode="External"/><Relationship Id="rId75" Type="http://schemas.openxmlformats.org/officeDocument/2006/relationships/hyperlink" Target="http://www.navigantresearch.com/newsroom/remote-microgrids-will-surpass-8-4-billion-in-annual-revenue-by-2020" TargetMode="External"/><Relationship Id="rId76" Type="http://schemas.openxmlformats.org/officeDocument/2006/relationships/hyperlink" Target="http://www.nrel.gov/news/press/2014/15431.html" TargetMode="External"/><Relationship Id="rId77" Type="http://schemas.openxmlformats.org/officeDocument/2006/relationships/hyperlink" Target="http://en.wikipedia.org/wiki/Electrolyte" TargetMode="External"/><Relationship Id="rId78" Type="http://schemas.openxmlformats.org/officeDocument/2006/relationships/hyperlink" Target="http://en.wikipedia.org/wiki/Molten_carbonate_fuel_cell" TargetMode="External"/><Relationship Id="rId79" Type="http://schemas.openxmlformats.org/officeDocument/2006/relationships/hyperlink" Target="http://www.eenews.net/stories/1059996047" TargetMode="External"/><Relationship Id="rId60" Type="http://schemas.openxmlformats.org/officeDocument/2006/relationships/hyperlink" Target="http://carnegiewave.com/ceto-technology/ceto-overview.html" TargetMode="External"/><Relationship Id="rId61" Type="http://schemas.openxmlformats.org/officeDocument/2006/relationships/hyperlink" Target="http://oregonwave.org/news/m3-wave-announces-successful-deployment-submerged-wave-energy-device-oregon-coast/" TargetMode="External"/><Relationship Id="rId62" Type="http://schemas.openxmlformats.org/officeDocument/2006/relationships/hyperlink" Target="http://globenewswire.com/news-release/2014/11/13/682920/10108080/en/Global-Fuel-Cell-Market-Is-Expecting-Growth-At-CAGR-Of-49-1-From-2014-To-2020-New-Report-By-Grand-View-Research-Inc.html" TargetMode="External"/><Relationship Id="rId10" Type="http://schemas.openxmlformats.org/officeDocument/2006/relationships/hyperlink" Target="http://www.greentechmedia.com/articles/read/a-solar-system-is-installed-in-america-every-2.5-minutes" TargetMode="External"/><Relationship Id="rId11" Type="http://schemas.openxmlformats.org/officeDocument/2006/relationships/hyperlink" Target="http://www.seia.org/sites/default/files/resources/iV39f8059N.pdf" TargetMode="External"/><Relationship Id="rId12" Type="http://schemas.openxmlformats.org/officeDocument/2006/relationships/hyperlink" Target="http://forms.greentechmedia.com/Extranet/95679/Morgan%20Stanley%20Solar%20Power%20&amp;%20Energy%20Storage%20Blue%20Paper%20July%2029%20201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6324</Words>
  <Characters>36049</Characters>
  <Application>Microsoft Macintosh Word</Application>
  <DocSecurity>4</DocSecurity>
  <Lines>300</Lines>
  <Paragraphs>84</Paragraphs>
  <ScaleCrop>false</ScaleCrop>
  <Company/>
  <LinksUpToDate>false</LinksUpToDate>
  <CharactersWithSpaces>42289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Smith</dc:creator>
  <cp:keywords/>
  <dc:description/>
  <cp:lastModifiedBy>Grant Smith</cp:lastModifiedBy>
  <cp:revision>2</cp:revision>
  <dcterms:created xsi:type="dcterms:W3CDTF">2016-01-25T18:21:00Z</dcterms:created>
  <dcterms:modified xsi:type="dcterms:W3CDTF">2016-01-25T18:21:00Z</dcterms:modified>
</cp:coreProperties>
</file>